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DF6A" w14:textId="77777777" w:rsidR="009C175D" w:rsidRDefault="009C175D">
      <w:pPr>
        <w:pStyle w:val="Zaglavlje"/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</w:rPr>
      </w:pPr>
    </w:p>
    <w:p w14:paraId="34A2C2A6" w14:textId="02A78E46" w:rsidR="009C175D" w:rsidRDefault="00621A42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Obrazloženje Financijskog plana za </w:t>
      </w:r>
      <w:r w:rsidR="00C36D43">
        <w:rPr>
          <w:rFonts w:ascii="Times New Roman" w:hAnsi="Times New Roman"/>
          <w:sz w:val="24"/>
        </w:rPr>
        <w:t>202</w:t>
      </w:r>
      <w:r w:rsidR="006B5A56">
        <w:rPr>
          <w:rFonts w:ascii="Times New Roman" w:hAnsi="Times New Roman"/>
          <w:sz w:val="24"/>
        </w:rPr>
        <w:t>6</w:t>
      </w:r>
      <w:r w:rsidR="00C36D43">
        <w:rPr>
          <w:rFonts w:ascii="Times New Roman" w:hAnsi="Times New Roman"/>
          <w:sz w:val="24"/>
        </w:rPr>
        <w:t>. godinu</w:t>
      </w:r>
    </w:p>
    <w:p w14:paraId="63121C51" w14:textId="77777777" w:rsidR="009C175D" w:rsidRDefault="00621A42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Knjižnica i čitaonica Kutina</w:t>
      </w:r>
    </w:p>
    <w:p w14:paraId="5FF97654" w14:textId="77777777" w:rsidR="00621A42" w:rsidRDefault="00621A42">
      <w:pPr>
        <w:pStyle w:val="Zaglavlje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48D52A3D" w14:textId="77777777" w:rsidR="009C175D" w:rsidRDefault="00621A42">
      <w:pPr>
        <w:pStyle w:val="Zaglavlje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Opći dio</w:t>
      </w:r>
    </w:p>
    <w:p w14:paraId="34C245B2" w14:textId="117BB9F2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Za 202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6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. godinu predlažu se prihodi i primici u iznosu od </w:t>
      </w:r>
      <w:r w:rsidR="00080D18">
        <w:rPr>
          <w:rFonts w:ascii="Times New Roman" w:hAnsi="Times New Roman"/>
          <w:i w:val="0"/>
          <w:sz w:val="24"/>
          <w:szCs w:val="24"/>
          <w:lang w:val="hr-HR"/>
        </w:rPr>
        <w:t>874.7</w:t>
      </w:r>
      <w:bookmarkStart w:id="0" w:name="_GoBack"/>
      <w:bookmarkEnd w:id="0"/>
      <w:r w:rsidR="006B5A56">
        <w:rPr>
          <w:rFonts w:ascii="Times New Roman" w:hAnsi="Times New Roman"/>
          <w:i w:val="0"/>
          <w:sz w:val="24"/>
          <w:szCs w:val="24"/>
          <w:lang w:val="hr-HR"/>
        </w:rPr>
        <w:t>00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</w:t>
      </w:r>
    </w:p>
    <w:p w14:paraId="1BF887D8" w14:textId="216CE3A5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Pomoći iz inozemstva i od subjekata unutar općeg proračuna predlažemo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327.000,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28803C91" w14:textId="48DF11F8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od administrativnih pristojbi i pristojbi po posebnim propisima predlažemo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13.800</w:t>
      </w:r>
      <w:r>
        <w:rPr>
          <w:rFonts w:ascii="Times New Roman" w:hAnsi="Times New Roman"/>
          <w:i w:val="0"/>
          <w:sz w:val="24"/>
          <w:szCs w:val="24"/>
          <w:lang w:val="hr-HR"/>
        </w:rPr>
        <w:t>,00 eura.</w:t>
      </w:r>
    </w:p>
    <w:p w14:paraId="5AA04B02" w14:textId="77777777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Prihode od prodaje proizvoda i robe te pruženih usluga i prihode od donacija predlažemo u iznosu od 1.500,00 eura.</w:t>
      </w:r>
    </w:p>
    <w:p w14:paraId="526A7EBE" w14:textId="0C23D10B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iz nadležnog proračuna predlažemo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532.400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eura.</w:t>
      </w:r>
    </w:p>
    <w:p w14:paraId="5A8D11E5" w14:textId="77777777" w:rsidR="009C175D" w:rsidRDefault="009C175D">
      <w:pPr>
        <w:spacing w:line="240" w:lineRule="auto"/>
        <w:ind w:right="-58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70F453FB" w14:textId="6D08781D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i izdaci predlažu se u iznosu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874.700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eura. </w:t>
      </w:r>
    </w:p>
    <w:p w14:paraId="6846C38F" w14:textId="16E248F6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zaposlene predlažu se u iznosu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211.500,00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godinu.</w:t>
      </w:r>
    </w:p>
    <w:p w14:paraId="7DC93D0E" w14:textId="1A26DCB1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Materijalni rashodi predlažu se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81.200</w:t>
      </w:r>
      <w:r w:rsidR="00C36D43" w:rsidRPr="00C36D43">
        <w:rPr>
          <w:rFonts w:ascii="Times New Roman" w:hAnsi="Times New Roman"/>
          <w:i w:val="0"/>
          <w:sz w:val="24"/>
          <w:szCs w:val="24"/>
          <w:lang w:val="hr-HR"/>
        </w:rPr>
        <w:t>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>2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godinu, sve uvažavajući realan rast stope inflacije.</w:t>
      </w:r>
    </w:p>
    <w:p w14:paraId="2C3848CF" w14:textId="5FED21BB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nabavu proizvedene dugotrajne imovine predlažu se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82.000,00</w:t>
      </w:r>
      <w:r w:rsidR="00C36D43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r-HR"/>
        </w:rPr>
        <w:t>eura, na bazi ostvarenja Financijskog plana za 202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5</w:t>
      </w:r>
      <w:r>
        <w:rPr>
          <w:rFonts w:ascii="Times New Roman" w:hAnsi="Times New Roman"/>
          <w:i w:val="0"/>
          <w:sz w:val="24"/>
          <w:szCs w:val="24"/>
          <w:lang w:val="hr-HR"/>
        </w:rPr>
        <w:t>. godinu i predloženih programa za koje se očekuje sufinanciranje Ministarstva kulture i medija.</w:t>
      </w:r>
    </w:p>
    <w:p w14:paraId="064DF775" w14:textId="49521C9E" w:rsidR="009C175D" w:rsidRDefault="00C36D43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C36D43">
        <w:rPr>
          <w:rFonts w:ascii="Times New Roman" w:hAnsi="Times New Roman"/>
          <w:i w:val="0"/>
          <w:sz w:val="24"/>
          <w:szCs w:val="24"/>
          <w:lang w:val="hr-HR"/>
        </w:rPr>
        <w:t>Rashodi za dodatna ulaganja na nefinancijskoj imovini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predlažu se u iznosu od </w:t>
      </w:r>
      <w:r w:rsidR="006B5A56">
        <w:rPr>
          <w:rFonts w:ascii="Times New Roman" w:hAnsi="Times New Roman"/>
          <w:i w:val="0"/>
          <w:sz w:val="24"/>
          <w:szCs w:val="24"/>
          <w:lang w:val="hr-HR"/>
        </w:rPr>
        <w:t>500</w:t>
      </w:r>
      <w:r w:rsidRPr="00C36D43">
        <w:rPr>
          <w:rFonts w:ascii="Times New Roman" w:hAnsi="Times New Roman"/>
          <w:i w:val="0"/>
          <w:sz w:val="24"/>
          <w:szCs w:val="24"/>
          <w:lang w:val="hr-HR"/>
        </w:rPr>
        <w:t>.000,00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 za projekt R</w:t>
      </w:r>
      <w:r w:rsidRPr="00C36D43">
        <w:rPr>
          <w:rFonts w:ascii="Times New Roman" w:hAnsi="Times New Roman"/>
          <w:i w:val="0"/>
          <w:sz w:val="24"/>
          <w:szCs w:val="24"/>
          <w:lang w:val="hr-HR"/>
        </w:rPr>
        <w:t>ekonstrukcija zgrade nove knjižnice i čitaonice</w:t>
      </w:r>
      <w:r>
        <w:rPr>
          <w:rFonts w:ascii="Times New Roman" w:hAnsi="Times New Roman"/>
          <w:i w:val="0"/>
          <w:sz w:val="24"/>
          <w:szCs w:val="24"/>
          <w:lang w:val="hr-HR"/>
        </w:rPr>
        <w:t>.</w:t>
      </w:r>
    </w:p>
    <w:p w14:paraId="781AF734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3D8A6C78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027004B3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70F6FC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EBFDE9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51CC1F4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D9A6F7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6931B16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D31357B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A77EBCC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1EE70AFA" w14:textId="77777777" w:rsidR="009C175D" w:rsidRDefault="00621A42">
      <w:pPr>
        <w:pStyle w:val="Zaglavlje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Posebni dio</w:t>
      </w:r>
    </w:p>
    <w:p w14:paraId="209CE9F8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3EC89E12" w14:textId="77777777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color w:val="FF0000"/>
          <w:lang w:val="hr-HR"/>
        </w:rPr>
        <w:tab/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14:paraId="3164DD40" w14:textId="77777777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 svoje aktivnosti provodi prema programu:</w:t>
      </w:r>
    </w:p>
    <w:p w14:paraId="0588A962" w14:textId="6928B7A2" w:rsidR="009C175D" w:rsidRDefault="00621A42">
      <w:pPr>
        <w:pStyle w:val="Naslov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PROGRAM</w:t>
      </w:r>
      <w:r>
        <w:rPr>
          <w:rStyle w:val="Istaknutareferenca"/>
          <w:lang w:val="hr-HR"/>
        </w:rPr>
        <w:tab/>
        <w:t>1003</w:t>
      </w:r>
      <w:r>
        <w:rPr>
          <w:rStyle w:val="Istaknutareferenca"/>
          <w:lang w:val="hr-HR"/>
        </w:rPr>
        <w:tab/>
        <w:t>POTREBE GRADA U KULTURI</w:t>
      </w:r>
      <w:r>
        <w:rPr>
          <w:rStyle w:val="Istaknutareferenca"/>
          <w:lang w:val="hr-HR"/>
        </w:rPr>
        <w:tab/>
      </w:r>
      <w:r w:rsidR="006B5A56">
        <w:rPr>
          <w:rStyle w:val="Istaknutareferenca"/>
          <w:lang w:val="hr-HR"/>
        </w:rPr>
        <w:t>874.700,00</w:t>
      </w:r>
    </w:p>
    <w:p w14:paraId="66D6D2DD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Nositelj Programa:</w:t>
      </w:r>
    </w:p>
    <w:p w14:paraId="5A646650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</w:t>
      </w:r>
    </w:p>
    <w:p w14:paraId="58B5F8D5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817E130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Odgovorna osoba:</w:t>
      </w:r>
    </w:p>
    <w:p w14:paraId="2726D82A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Suzana </w:t>
      </w:r>
      <w:proofErr w:type="spellStart"/>
      <w:r>
        <w:rPr>
          <w:sz w:val="24"/>
          <w:szCs w:val="24"/>
          <w:lang w:val="hr-HR"/>
        </w:rPr>
        <w:t>Pomper</w:t>
      </w:r>
      <w:proofErr w:type="spellEnd"/>
      <w:r>
        <w:rPr>
          <w:sz w:val="24"/>
          <w:szCs w:val="24"/>
          <w:lang w:val="hr-HR"/>
        </w:rPr>
        <w:t>, prof.</w:t>
      </w:r>
    </w:p>
    <w:p w14:paraId="183F820D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76CE870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Zakonska osnova: </w:t>
      </w:r>
    </w:p>
    <w:p w14:paraId="081E07FA" w14:textId="3CA687AE" w:rsidR="009C175D" w:rsidRDefault="00C36D43">
      <w:pPr>
        <w:numPr>
          <w:ilvl w:val="0"/>
          <w:numId w:val="10"/>
        </w:numPr>
        <w:spacing w:after="120" w:line="240" w:lineRule="auto"/>
        <w:rPr>
          <w:sz w:val="24"/>
          <w:szCs w:val="24"/>
          <w:lang w:val="hr-HR"/>
        </w:rPr>
      </w:pPr>
      <w:r w:rsidRPr="00C36D43">
        <w:rPr>
          <w:sz w:val="24"/>
          <w:szCs w:val="24"/>
          <w:lang w:val="hr-HR"/>
        </w:rPr>
        <w:t xml:space="preserve">Zakon o knjižnicama i knjižničnoj djelatnosti </w:t>
      </w:r>
      <w:r w:rsidR="00621A42">
        <w:rPr>
          <w:sz w:val="24"/>
          <w:szCs w:val="24"/>
          <w:lang w:val="hr-HR"/>
        </w:rPr>
        <w:t xml:space="preserve">(NN </w:t>
      </w:r>
      <w:r>
        <w:rPr>
          <w:sz w:val="24"/>
          <w:szCs w:val="24"/>
          <w:lang w:val="hr-HR"/>
        </w:rPr>
        <w:t>17</w:t>
      </w:r>
      <w:r w:rsidR="00621A42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>1</w:t>
      </w:r>
      <w:r w:rsidR="00621A42">
        <w:rPr>
          <w:sz w:val="24"/>
          <w:szCs w:val="24"/>
          <w:lang w:val="hr-HR"/>
        </w:rPr>
        <w:t>9 i 98/19)</w:t>
      </w:r>
    </w:p>
    <w:p w14:paraId="0324BBE5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Ciljevi:</w:t>
      </w:r>
    </w:p>
    <w:p w14:paraId="3348EAE7" w14:textId="77777777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Kulturno uzdizanje svih građana Grada Kutine </w:t>
      </w:r>
    </w:p>
    <w:p w14:paraId="0F6867EE" w14:textId="77777777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Poticanje građana na praćenje kulturnih aktivnosti i manifestacija s ciljem zadovoljavanja potreba građana kroz područja kulturnih djelatnosti</w:t>
      </w:r>
    </w:p>
    <w:p w14:paraId="3367CEEF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307A6684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Ciljevi ovog programa ostvarivati će se kroz sljedeće projekte i aktivnosti: </w:t>
      </w:r>
    </w:p>
    <w:p w14:paraId="62BB9890" w14:textId="148DF50E" w:rsidR="009C175D" w:rsidRDefault="00621A42">
      <w:pPr>
        <w:pStyle w:val="Naslov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A100001</w:t>
      </w:r>
      <w:r>
        <w:rPr>
          <w:rStyle w:val="Istaknutareferenca"/>
          <w:lang w:val="hr-HR"/>
        </w:rPr>
        <w:tab/>
        <w:t>RASHODI ZA ZAPOSLENE</w:t>
      </w:r>
      <w:r>
        <w:rPr>
          <w:rStyle w:val="Istaknutareferenca"/>
          <w:lang w:val="hr-HR"/>
        </w:rPr>
        <w:tab/>
      </w:r>
      <w:r w:rsidR="006B5A56">
        <w:rPr>
          <w:rStyle w:val="Istaknutareferenca"/>
          <w:lang w:val="hr-HR"/>
        </w:rPr>
        <w:t>211.500</w:t>
      </w:r>
      <w:r w:rsidRPr="00621A42">
        <w:rPr>
          <w:rStyle w:val="Istaknutareferenca"/>
          <w:lang w:val="hr-HR"/>
        </w:rPr>
        <w:t>,00</w:t>
      </w:r>
    </w:p>
    <w:p w14:paraId="51D8B882" w14:textId="3D7D0828" w:rsidR="009C175D" w:rsidRDefault="00621A42">
      <w:pPr>
        <w:pStyle w:val="Naslov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A100002</w:t>
      </w:r>
      <w:r>
        <w:rPr>
          <w:rStyle w:val="Istaknutareferenca"/>
          <w:lang w:val="hr-HR"/>
        </w:rPr>
        <w:tab/>
        <w:t>MATERIJALNI I FINANCIJSKI RASHODI</w:t>
      </w:r>
      <w:r>
        <w:rPr>
          <w:rStyle w:val="Istaknutareferenca"/>
          <w:lang w:val="hr-HR"/>
        </w:rPr>
        <w:tab/>
      </w:r>
      <w:r w:rsidR="006B5A56">
        <w:rPr>
          <w:rStyle w:val="Istaknutareferenca"/>
          <w:lang w:val="hr-HR"/>
        </w:rPr>
        <w:t>81.200</w:t>
      </w:r>
      <w:r w:rsidRPr="00621A42">
        <w:rPr>
          <w:rStyle w:val="Istaknutareferenca"/>
          <w:lang w:val="hr-HR"/>
        </w:rPr>
        <w:t>,00</w:t>
      </w:r>
    </w:p>
    <w:p w14:paraId="022B3829" w14:textId="77777777" w:rsidR="009C175D" w:rsidRDefault="00621A42">
      <w:pPr>
        <w:pStyle w:val="Naslov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>Aktivnost  A100003</w:t>
      </w:r>
      <w:r>
        <w:rPr>
          <w:rStyle w:val="Istaknutareferenca"/>
          <w:lang w:val="hr-HR"/>
        </w:rPr>
        <w:tab/>
        <w:t>NABAVA OPREME I EKSPONATA</w:t>
      </w:r>
      <w:r>
        <w:rPr>
          <w:rStyle w:val="Istaknutareferenca"/>
          <w:lang w:val="hr-HR"/>
        </w:rPr>
        <w:tab/>
        <w:t>1.500,00</w:t>
      </w:r>
    </w:p>
    <w:p w14:paraId="63DB287E" w14:textId="07EA5EF1" w:rsidR="00C36D43" w:rsidRDefault="00621A42" w:rsidP="00C36D43">
      <w:pPr>
        <w:pStyle w:val="Naslov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Naslov2Char"/>
          <w:lang w:val="hr-HR"/>
        </w:rPr>
      </w:pPr>
      <w:r>
        <w:rPr>
          <w:rStyle w:val="Istaknutareferenca"/>
          <w:lang w:val="hr-HR"/>
        </w:rPr>
        <w:t>Aktivnost  A100010</w:t>
      </w:r>
      <w:r>
        <w:rPr>
          <w:rStyle w:val="Istaknutareferenca"/>
          <w:lang w:val="hr-HR"/>
        </w:rPr>
        <w:tab/>
        <w:t>NABAVA KNJIŽNE I NEKNJIŽNE GRAĐE</w:t>
      </w:r>
      <w:r>
        <w:rPr>
          <w:rStyle w:val="Istaknutareferenca"/>
          <w:lang w:val="hr-HR"/>
        </w:rPr>
        <w:tab/>
      </w:r>
      <w:r w:rsidR="006B5A56">
        <w:rPr>
          <w:rStyle w:val="Istaknutareferenca"/>
          <w:lang w:val="hr-HR"/>
        </w:rPr>
        <w:t>40.500</w:t>
      </w:r>
      <w:r>
        <w:rPr>
          <w:rStyle w:val="Istaknutareferenca"/>
          <w:lang w:val="hr-HR"/>
        </w:rPr>
        <w:t>,00</w:t>
      </w:r>
      <w:r w:rsidR="00C36D43" w:rsidRPr="00C36D43">
        <w:rPr>
          <w:rStyle w:val="Naslov2Char"/>
          <w:lang w:val="hr-HR"/>
        </w:rPr>
        <w:t xml:space="preserve"> </w:t>
      </w:r>
    </w:p>
    <w:p w14:paraId="38B1536D" w14:textId="4C15FC2F" w:rsidR="00621A42" w:rsidRDefault="00C36D43" w:rsidP="00C36D43">
      <w:pPr>
        <w:pStyle w:val="Naslov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staknutareferenca"/>
          <w:lang w:val="hr-HR"/>
        </w:rPr>
      </w:pPr>
      <w:r>
        <w:rPr>
          <w:rStyle w:val="Istaknutareferenca"/>
          <w:lang w:val="hr-HR"/>
        </w:rPr>
        <w:t xml:space="preserve">kapitalni projekt </w:t>
      </w:r>
      <w:r w:rsidRPr="00C36D43">
        <w:rPr>
          <w:rStyle w:val="Istaknutareferenca"/>
          <w:lang w:val="hr-HR"/>
        </w:rPr>
        <w:t>K100017 REKONSTRUKCIJA ZGRADE NOVE KNJIŽNICE I ČITAONIC</w:t>
      </w:r>
      <w:r>
        <w:rPr>
          <w:rStyle w:val="Istaknutareferenca"/>
          <w:lang w:val="hr-HR"/>
        </w:rPr>
        <w:t>E</w:t>
      </w:r>
      <w:r>
        <w:rPr>
          <w:rStyle w:val="Istaknutareferenca"/>
          <w:lang w:val="hr-HR"/>
        </w:rPr>
        <w:tab/>
      </w:r>
      <w:r w:rsidR="006B5A56">
        <w:rPr>
          <w:rStyle w:val="Istaknutareferenca"/>
          <w:lang w:val="hr-HR"/>
        </w:rPr>
        <w:t>540.000</w:t>
      </w:r>
      <w:r w:rsidRPr="00C36D43">
        <w:rPr>
          <w:rStyle w:val="Istaknutareferenca"/>
          <w:lang w:val="hr-HR"/>
        </w:rPr>
        <w:t>,00</w:t>
      </w:r>
    </w:p>
    <w:p w14:paraId="77CE0310" w14:textId="550E9773" w:rsidR="00621A42" w:rsidRPr="00621A42" w:rsidRDefault="00621A42" w:rsidP="00621A42">
      <w:pPr>
        <w:rPr>
          <w:lang w:val="hr-HR" w:bidi="ar-SA"/>
        </w:rPr>
      </w:pPr>
    </w:p>
    <w:sectPr w:rsidR="00621A42" w:rsidRPr="00621A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1045" w14:textId="77777777" w:rsidR="00761CE5" w:rsidRDefault="00761CE5">
      <w:pPr>
        <w:spacing w:after="0" w:line="240" w:lineRule="auto"/>
      </w:pPr>
      <w:r>
        <w:separator/>
      </w:r>
    </w:p>
  </w:endnote>
  <w:endnote w:type="continuationSeparator" w:id="0">
    <w:p w14:paraId="7F3F518D" w14:textId="77777777" w:rsidR="00761CE5" w:rsidRDefault="0076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8F42" w14:textId="77777777" w:rsidR="009C175D" w:rsidRDefault="00621A4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A884" w14:textId="77777777" w:rsidR="00761CE5" w:rsidRDefault="00761CE5">
      <w:pPr>
        <w:spacing w:after="0" w:line="240" w:lineRule="auto"/>
      </w:pPr>
      <w:r>
        <w:separator/>
      </w:r>
    </w:p>
  </w:footnote>
  <w:footnote w:type="continuationSeparator" w:id="0">
    <w:p w14:paraId="21451992" w14:textId="77777777" w:rsidR="00761CE5" w:rsidRDefault="0076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D"/>
    <w:rsid w:val="00080D18"/>
    <w:rsid w:val="001918AD"/>
    <w:rsid w:val="00621A42"/>
    <w:rsid w:val="006B5A56"/>
    <w:rsid w:val="00761CE5"/>
    <w:rsid w:val="00972308"/>
    <w:rsid w:val="009C175D"/>
    <w:rsid w:val="00C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7BD7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staknutareferenca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ZaglavljeChar">
    <w:name w:val="Zaglavlje Char"/>
    <w:basedOn w:val="Zadanifontodlomka"/>
    <w:link w:val="Zaglavlje"/>
    <w:rPr>
      <w:rFonts w:ascii="Arial" w:eastAsia="Times New Roman" w:hAnsi="Arial"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BCE6-42D5-4B09-AF02-F2DB2DF5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Andrija Vdović</cp:lastModifiedBy>
  <cp:revision>4</cp:revision>
  <cp:lastPrinted>2018-11-26T07:30:00Z</cp:lastPrinted>
  <dcterms:created xsi:type="dcterms:W3CDTF">2024-10-29T12:27:00Z</dcterms:created>
  <dcterms:modified xsi:type="dcterms:W3CDTF">2025-10-29T11:33:00Z</dcterms:modified>
</cp:coreProperties>
</file>