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DF6A" w14:textId="77777777" w:rsidR="009C175D" w:rsidRDefault="009C175D">
      <w:pPr>
        <w:pStyle w:val="Header"/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</w:rPr>
      </w:pPr>
    </w:p>
    <w:p w14:paraId="34A2C2A6" w14:textId="4A454947" w:rsidR="009C175D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 Financijskog plana za razdoblje 2024-2026</w:t>
      </w:r>
    </w:p>
    <w:p w14:paraId="63121C51" w14:textId="77777777" w:rsidR="009C175D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Knjižnica i čitaonica Kutina</w:t>
      </w:r>
    </w:p>
    <w:p w14:paraId="5FF97654" w14:textId="77777777" w:rsidR="00621A42" w:rsidRDefault="00621A42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Times New Roman" w:hAnsi="Times New Roman"/>
          <w:sz w:val="24"/>
        </w:rPr>
      </w:pPr>
    </w:p>
    <w:p w14:paraId="48D52A3D" w14:textId="77777777" w:rsidR="009C175D" w:rsidRDefault="00621A42">
      <w:pPr>
        <w:pStyle w:val="Header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Opći dio</w:t>
      </w:r>
    </w:p>
    <w:p w14:paraId="34C245B2" w14:textId="6601255D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Za 2024. godinu predlažu se prihodi i primici u iznosu od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258.800,00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eura. </w:t>
      </w:r>
    </w:p>
    <w:p w14:paraId="1BF887D8" w14:textId="6A0F4DF7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Pomoći iz inozemstva i od subjekata unutar općeg proračuna predlažemo u iznosu od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29.600,00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eura.</w:t>
      </w:r>
    </w:p>
    <w:p w14:paraId="28803C91" w14:textId="6D7C3090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Prihode od administrativnih pristojbi i pristojbi po posebnim propisima predlažemo u iznosu od 14.000,00 eura.</w:t>
      </w:r>
    </w:p>
    <w:p w14:paraId="5AA04B02" w14:textId="77777777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Prihode od prodaje proizvoda i robe te pruženih usluga i prihode od donacija predlažemo u iznosu od 1.500,00 eura.</w:t>
      </w:r>
    </w:p>
    <w:p w14:paraId="526A7EBE" w14:textId="2E79D646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Prihode iz nadležnog proračuna predlažemo u iznosu od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213.700,00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eura.</w:t>
      </w:r>
    </w:p>
    <w:p w14:paraId="5A8D11E5" w14:textId="77777777" w:rsidR="009C175D" w:rsidRDefault="009C175D">
      <w:pPr>
        <w:spacing w:line="240" w:lineRule="auto"/>
        <w:ind w:right="-58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70F453FB" w14:textId="02BE6523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i izdaci predlažu se u iznosu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258.800,00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eura. </w:t>
      </w:r>
    </w:p>
    <w:p w14:paraId="6846C38F" w14:textId="6872CDB4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Rashodi za zaposlene predlažu se u iznosu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154.000,00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eura, na bazi ostvarenja Financijskog plana za 2023. godinu.</w:t>
      </w:r>
    </w:p>
    <w:p w14:paraId="7DC93D0E" w14:textId="76D0CA43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 xml:space="preserve">Materijalni rashodi predlažu se u iznosu od </w:t>
      </w:r>
      <w:r w:rsidRPr="00621A42">
        <w:rPr>
          <w:rFonts w:ascii="Times New Roman" w:hAnsi="Times New Roman"/>
          <w:i w:val="0"/>
          <w:sz w:val="24"/>
          <w:szCs w:val="24"/>
          <w:lang w:val="hr-HR"/>
        </w:rPr>
        <w:t>69.700,00</w:t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 eura, na bazi ostvarenja Financijskog plana za 2023. godinu, sve uvažavajući realan rast stope inflacije.</w:t>
      </w:r>
    </w:p>
    <w:p w14:paraId="2C3848CF" w14:textId="177C5724" w:rsidR="009C175D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Rashodi za nabavu proizvedene dugotrajne imovine predlažu se u iznosu od 35.100,00 eura, na bazi ostvarenja Financijskog plana za 2023. godinu i predloženih programa za koje se očekuje sufinanciranje Ministarstva kulture i medija.</w:t>
      </w:r>
    </w:p>
    <w:p w14:paraId="064DF775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781AF734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3D8A6C78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027004B3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70F6FC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EBFDE9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51CC1F4D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1ED9A6F7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6931B16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7D31357B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4A77EBCC" w14:textId="77777777" w:rsidR="00621A42" w:rsidRDefault="00621A42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1EE70AFA" w14:textId="77777777" w:rsidR="009C175D" w:rsidRDefault="00621A42">
      <w:pPr>
        <w:pStyle w:val="Header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Posebni dio</w:t>
      </w:r>
    </w:p>
    <w:p w14:paraId="209CE9F8" w14:textId="77777777" w:rsidR="009C175D" w:rsidRDefault="009C175D">
      <w:pPr>
        <w:spacing w:line="240" w:lineRule="auto"/>
        <w:ind w:right="-58" w:firstLine="720"/>
        <w:jc w:val="both"/>
        <w:rPr>
          <w:rFonts w:ascii="Times New Roman" w:hAnsi="Times New Roman"/>
          <w:i w:val="0"/>
          <w:iCs w:val="0"/>
          <w:sz w:val="24"/>
          <w:szCs w:val="24"/>
          <w:lang w:val="hr-HR"/>
        </w:rPr>
      </w:pPr>
    </w:p>
    <w:p w14:paraId="3EC89E12" w14:textId="77777777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color w:val="FF0000"/>
          <w:lang w:val="hr-HR"/>
        </w:rPr>
        <w:tab/>
      </w:r>
      <w:r>
        <w:rPr>
          <w:rFonts w:ascii="Times New Roman" w:hAnsi="Times New Roman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14:paraId="3164DD40" w14:textId="77777777" w:rsidR="009C175D" w:rsidRDefault="00621A42">
      <w:pPr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 svoje aktivnosti provodi prema programu:</w:t>
      </w:r>
    </w:p>
    <w:p w14:paraId="0588A962" w14:textId="2556C34F" w:rsidR="009C175D" w:rsidRDefault="00621A42">
      <w:pPr>
        <w:pStyle w:val="Heading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PROGRAM</w:t>
      </w:r>
      <w:r>
        <w:rPr>
          <w:rStyle w:val="IntenseReference"/>
          <w:lang w:val="hr-HR"/>
        </w:rPr>
        <w:tab/>
        <w:t>1003</w:t>
      </w:r>
      <w:r>
        <w:rPr>
          <w:rStyle w:val="IntenseReference"/>
          <w:lang w:val="hr-HR"/>
        </w:rPr>
        <w:tab/>
        <w:t>POTREBE GRADA U KULTURI</w:t>
      </w:r>
      <w:r>
        <w:rPr>
          <w:rStyle w:val="IntenseReference"/>
          <w:lang w:val="hr-HR"/>
        </w:rPr>
        <w:tab/>
        <w:t>258.800,00</w:t>
      </w:r>
    </w:p>
    <w:p w14:paraId="66D6D2DD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Nositelj Programa:</w:t>
      </w:r>
    </w:p>
    <w:p w14:paraId="5A646650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Knjižnica i čitaonica Kutina</w:t>
      </w:r>
    </w:p>
    <w:p w14:paraId="58B5F8D5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817E130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Odgovorna osoba:</w:t>
      </w:r>
      <w:bookmarkStart w:id="0" w:name="_GoBack"/>
      <w:bookmarkEnd w:id="0"/>
    </w:p>
    <w:p w14:paraId="2726D82A" w14:textId="77777777" w:rsidR="009C175D" w:rsidRDefault="00621A42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Suzana Pomper, prof.</w:t>
      </w:r>
    </w:p>
    <w:p w14:paraId="183F820D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576CE870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Zakonska osnova: </w:t>
      </w:r>
    </w:p>
    <w:p w14:paraId="081E07FA" w14:textId="77777777" w:rsidR="009C175D" w:rsidRDefault="00621A42">
      <w:pPr>
        <w:numPr>
          <w:ilvl w:val="0"/>
          <w:numId w:val="10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Zakon o knjižnicama (NN 105/97, 5/98, 104/00, 69/09 i 98/19)</w:t>
      </w:r>
    </w:p>
    <w:p w14:paraId="0324BBE5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Ciljevi:</w:t>
      </w:r>
    </w:p>
    <w:p w14:paraId="3348EAE7" w14:textId="77777777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Kulturno uzdizanje svih građana Grada Kutine </w:t>
      </w:r>
    </w:p>
    <w:p w14:paraId="0F6867EE" w14:textId="77777777" w:rsidR="009C175D" w:rsidRDefault="00621A42">
      <w:pPr>
        <w:numPr>
          <w:ilvl w:val="0"/>
          <w:numId w:val="11"/>
        </w:num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Poticanje građana na praćenje kulturnih aktivnosti i manifestacija s ciljem zadovoljavanja potreba građana kroz područja kulturnih djelatnosti</w:t>
      </w:r>
    </w:p>
    <w:p w14:paraId="3367CEEF" w14:textId="77777777" w:rsidR="009C175D" w:rsidRDefault="009C175D">
      <w:pPr>
        <w:spacing w:after="120" w:line="240" w:lineRule="auto"/>
        <w:rPr>
          <w:b/>
          <w:sz w:val="24"/>
          <w:szCs w:val="24"/>
          <w:lang w:val="hr-HR"/>
        </w:rPr>
      </w:pPr>
    </w:p>
    <w:p w14:paraId="307A6684" w14:textId="77777777" w:rsidR="009C175D" w:rsidRDefault="00621A42">
      <w:pPr>
        <w:spacing w:after="12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Ciljevi ovog programa ostvarivati će se kroz sljedeće projekte i aktivnosti: </w:t>
      </w:r>
    </w:p>
    <w:p w14:paraId="62BB9890" w14:textId="1CCB125D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A100001</w:t>
      </w:r>
      <w:r>
        <w:rPr>
          <w:rStyle w:val="IntenseReference"/>
          <w:lang w:val="hr-HR"/>
        </w:rPr>
        <w:tab/>
        <w:t>RASHODI ZA ZAPOSLENE</w:t>
      </w:r>
      <w:r>
        <w:rPr>
          <w:rStyle w:val="IntenseReference"/>
          <w:lang w:val="hr-HR"/>
        </w:rPr>
        <w:tab/>
      </w:r>
      <w:r w:rsidRPr="00621A42">
        <w:rPr>
          <w:rStyle w:val="IntenseReference"/>
          <w:lang w:val="hr-HR"/>
        </w:rPr>
        <w:t>159.000,00</w:t>
      </w:r>
    </w:p>
    <w:p w14:paraId="51D8B882" w14:textId="370AD8AC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A100002</w:t>
      </w:r>
      <w:r>
        <w:rPr>
          <w:rStyle w:val="IntenseReference"/>
          <w:lang w:val="hr-HR"/>
        </w:rPr>
        <w:tab/>
        <w:t>MATERIJALNI I FINANCIJSKI RASHODI</w:t>
      </w:r>
      <w:r>
        <w:rPr>
          <w:rStyle w:val="IntenseReference"/>
          <w:lang w:val="hr-HR"/>
        </w:rPr>
        <w:tab/>
      </w:r>
      <w:r w:rsidRPr="00621A42">
        <w:rPr>
          <w:rStyle w:val="IntenseReference"/>
          <w:lang w:val="hr-HR"/>
        </w:rPr>
        <w:t>66.400,00</w:t>
      </w:r>
    </w:p>
    <w:p w14:paraId="022B3829" w14:textId="77777777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A100003</w:t>
      </w:r>
      <w:r>
        <w:rPr>
          <w:rStyle w:val="IntenseReference"/>
          <w:lang w:val="hr-HR"/>
        </w:rPr>
        <w:tab/>
        <w:t>NABAVA OPREME I EKSPONATA</w:t>
      </w:r>
      <w:r>
        <w:rPr>
          <w:rStyle w:val="IntenseReference"/>
          <w:lang w:val="hr-HR"/>
        </w:rPr>
        <w:tab/>
        <w:t>1.500,00</w:t>
      </w:r>
    </w:p>
    <w:p w14:paraId="38B1536D" w14:textId="77777777" w:rsidR="00621A42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>
        <w:rPr>
          <w:rStyle w:val="IntenseReference"/>
          <w:lang w:val="hr-HR"/>
        </w:rPr>
        <w:t>Aktivnost  A100010</w:t>
      </w:r>
      <w:r>
        <w:rPr>
          <w:rStyle w:val="IntenseReference"/>
          <w:lang w:val="hr-HR"/>
        </w:rPr>
        <w:tab/>
        <w:t>NABAVA KNJIŽNE I NEKNJIŽNE GRAĐE</w:t>
      </w:r>
      <w:r>
        <w:rPr>
          <w:rStyle w:val="IntenseReference"/>
          <w:lang w:val="hr-HR"/>
        </w:rPr>
        <w:tab/>
        <w:t>34.600,00</w:t>
      </w:r>
    </w:p>
    <w:p w14:paraId="4F1623B5" w14:textId="4E7EE3D6" w:rsidR="009C175D" w:rsidRDefault="00621A42">
      <w:pPr>
        <w:pStyle w:val="Heading2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lang w:val="hr-HR"/>
        </w:rPr>
      </w:pPr>
      <w:r w:rsidRPr="00621A42">
        <w:rPr>
          <w:rStyle w:val="IntenseReference"/>
          <w:lang w:val="hr-HR"/>
        </w:rPr>
        <w:t>Tekući projekt T100007 ERASMUS +</w:t>
      </w:r>
      <w:r>
        <w:rPr>
          <w:rStyle w:val="IntenseReference"/>
          <w:lang w:val="hr-HR"/>
        </w:rPr>
        <w:tab/>
        <w:t>3.300,00</w:t>
      </w:r>
    </w:p>
    <w:p w14:paraId="5D6D0688" w14:textId="77777777" w:rsidR="001C6C0C" w:rsidRDefault="001C6C0C" w:rsidP="001C6C0C">
      <w:pPr>
        <w:jc w:val="right"/>
        <w:rPr>
          <w:rFonts w:ascii="Times New Roman" w:hAnsi="Times New Roman"/>
          <w:b/>
          <w:i w:val="0"/>
          <w:sz w:val="24"/>
          <w:szCs w:val="24"/>
          <w:lang w:val="hr-HR" w:bidi="ar-SA"/>
        </w:rPr>
      </w:pPr>
    </w:p>
    <w:p w14:paraId="221B60AD" w14:textId="3B419139" w:rsidR="001C6C0C" w:rsidRDefault="001C6C0C" w:rsidP="001C6C0C">
      <w:pPr>
        <w:jc w:val="right"/>
        <w:rPr>
          <w:rFonts w:ascii="Times New Roman" w:hAnsi="Times New Roman"/>
          <w:b/>
          <w:i w:val="0"/>
          <w:sz w:val="24"/>
          <w:szCs w:val="24"/>
          <w:lang w:val="hr-HR" w:bidi="ar-SA"/>
        </w:rPr>
      </w:pPr>
      <w:r>
        <w:rPr>
          <w:rFonts w:ascii="Times New Roman" w:hAnsi="Times New Roman"/>
          <w:b/>
          <w:i w:val="0"/>
          <w:noProof/>
          <w:sz w:val="24"/>
          <w:szCs w:val="24"/>
          <w:lang w:val="hr-HR" w:bidi="ar-SA"/>
        </w:rPr>
        <w:drawing>
          <wp:anchor distT="0" distB="0" distL="114300" distR="114300" simplePos="0" relativeHeight="251659264" behindDoc="1" locked="0" layoutInCell="1" allowOverlap="1" wp14:anchorId="53AF85C2" wp14:editId="0FAB5752">
            <wp:simplePos x="0" y="0"/>
            <wp:positionH relativeFrom="column">
              <wp:posOffset>2948305</wp:posOffset>
            </wp:positionH>
            <wp:positionV relativeFrom="paragraph">
              <wp:posOffset>300355</wp:posOffset>
            </wp:positionV>
            <wp:extent cx="2865120" cy="114832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čat s potpis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148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B53">
        <w:rPr>
          <w:rFonts w:ascii="Times New Roman" w:hAnsi="Times New Roman"/>
          <w:b/>
          <w:i w:val="0"/>
          <w:sz w:val="24"/>
          <w:szCs w:val="24"/>
          <w:lang w:val="hr-HR" w:bidi="ar-SA"/>
        </w:rPr>
        <w:t>Suzana Pomper,</w:t>
      </w:r>
      <w:r w:rsidRPr="00DB0B53">
        <w:rPr>
          <w:rFonts w:ascii="Times New Roman" w:hAnsi="Times New Roman"/>
          <w:b/>
          <w:i w:val="0"/>
          <w:sz w:val="24"/>
          <w:szCs w:val="24"/>
          <w:lang w:val="hr-HR" w:bidi="ar-SA"/>
        </w:rPr>
        <w:br/>
        <w:t>ravnateljica Knjižnice i čitaonice Kutina</w:t>
      </w:r>
    </w:p>
    <w:p w14:paraId="0F589096" w14:textId="77777777" w:rsidR="001C6C0C" w:rsidRDefault="001C6C0C" w:rsidP="001C6C0C">
      <w:pPr>
        <w:jc w:val="right"/>
        <w:rPr>
          <w:rFonts w:ascii="Times New Roman" w:hAnsi="Times New Roman"/>
          <w:b/>
          <w:i w:val="0"/>
          <w:sz w:val="24"/>
          <w:szCs w:val="24"/>
          <w:lang w:val="hr-HR" w:bidi="ar-SA"/>
        </w:rPr>
      </w:pPr>
    </w:p>
    <w:p w14:paraId="77CE0310" w14:textId="550E9773" w:rsidR="00621A42" w:rsidRPr="00621A42" w:rsidRDefault="00621A42" w:rsidP="00621A42">
      <w:pPr>
        <w:rPr>
          <w:lang w:val="hr-HR" w:bidi="ar-SA"/>
        </w:rPr>
      </w:pPr>
    </w:p>
    <w:sectPr w:rsidR="00621A42" w:rsidRPr="00621A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14166" w14:textId="77777777" w:rsidR="00A66A8C" w:rsidRDefault="00A66A8C">
      <w:pPr>
        <w:spacing w:after="0" w:line="240" w:lineRule="auto"/>
      </w:pPr>
      <w:r>
        <w:separator/>
      </w:r>
    </w:p>
  </w:endnote>
  <w:endnote w:type="continuationSeparator" w:id="0">
    <w:p w14:paraId="0FE65E8D" w14:textId="77777777" w:rsidR="00A66A8C" w:rsidRDefault="00A6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8F42" w14:textId="77777777" w:rsidR="009C175D" w:rsidRDefault="00621A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5C24E" w14:textId="77777777" w:rsidR="00A66A8C" w:rsidRDefault="00A66A8C">
      <w:pPr>
        <w:spacing w:after="0" w:line="240" w:lineRule="auto"/>
      </w:pPr>
      <w:r>
        <w:separator/>
      </w:r>
    </w:p>
  </w:footnote>
  <w:footnote w:type="continuationSeparator" w:id="0">
    <w:p w14:paraId="10B77E55" w14:textId="77777777" w:rsidR="00A66A8C" w:rsidRDefault="00A6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D"/>
    <w:rsid w:val="001C6C0C"/>
    <w:rsid w:val="00621A42"/>
    <w:rsid w:val="009C175D"/>
    <w:rsid w:val="00A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7BD7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E471-D640-474A-AD87-8FD3674B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Admin</cp:lastModifiedBy>
  <cp:revision>5</cp:revision>
  <cp:lastPrinted>2018-11-26T07:30:00Z</cp:lastPrinted>
  <dcterms:created xsi:type="dcterms:W3CDTF">2022-10-04T08:00:00Z</dcterms:created>
  <dcterms:modified xsi:type="dcterms:W3CDTF">2024-02-15T13:26:00Z</dcterms:modified>
</cp:coreProperties>
</file>