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80D31" w14:paraId="4CC7F0AD" w14:textId="77777777">
        <w:tblPrEx>
          <w:tblCellMar>
            <w:top w:w="0" w:type="dxa"/>
            <w:bottom w:w="0" w:type="dxa"/>
          </w:tblCellMar>
        </w:tblPrEx>
        <w:trPr>
          <w:tblCellSpacing w:w="60" w:type="dxa"/>
        </w:trPr>
        <w:tc>
          <w:tcPr>
            <w:tcW w:w="1200" w:type="pct"/>
            <w:shd w:val="clear" w:color="auto" w:fill="E7F0F9"/>
          </w:tcPr>
          <w:p w14:paraId="44BF8169" w14:textId="77777777" w:rsidR="00680D31" w:rsidRDefault="00000000">
            <w:pPr>
              <w:spacing w:after="0" w:line="240" w:lineRule="auto"/>
            </w:pPr>
            <w:r>
              <w:rPr>
                <w:b/>
              </w:rPr>
              <w:t>RKP broj</w:t>
            </w:r>
          </w:p>
        </w:tc>
        <w:tc>
          <w:tcPr>
            <w:tcW w:w="0" w:type="auto"/>
            <w:shd w:val="clear" w:color="auto" w:fill="E7F0F9"/>
          </w:tcPr>
          <w:p w14:paraId="01D468DF" w14:textId="77777777" w:rsidR="00680D31" w:rsidRDefault="00000000">
            <w:pPr>
              <w:spacing w:after="0" w:line="240" w:lineRule="auto"/>
            </w:pPr>
            <w:r>
              <w:t>41048</w:t>
            </w:r>
          </w:p>
        </w:tc>
      </w:tr>
      <w:tr w:rsidR="00680D31" w14:paraId="1B2A77EB" w14:textId="77777777">
        <w:tblPrEx>
          <w:tblCellMar>
            <w:top w:w="0" w:type="dxa"/>
            <w:bottom w:w="0" w:type="dxa"/>
          </w:tblCellMar>
        </w:tblPrEx>
        <w:trPr>
          <w:tblCellSpacing w:w="60" w:type="dxa"/>
        </w:trPr>
        <w:tc>
          <w:tcPr>
            <w:tcW w:w="1200" w:type="pct"/>
            <w:shd w:val="clear" w:color="auto" w:fill="E7F0F9"/>
          </w:tcPr>
          <w:p w14:paraId="2D69097F" w14:textId="77777777" w:rsidR="00680D31" w:rsidRDefault="00000000">
            <w:pPr>
              <w:spacing w:after="0" w:line="240" w:lineRule="auto"/>
            </w:pPr>
            <w:r>
              <w:rPr>
                <w:b/>
              </w:rPr>
              <w:t>Naziv obveznika</w:t>
            </w:r>
          </w:p>
        </w:tc>
        <w:tc>
          <w:tcPr>
            <w:tcW w:w="0" w:type="auto"/>
            <w:shd w:val="clear" w:color="auto" w:fill="E7F0F9"/>
          </w:tcPr>
          <w:p w14:paraId="319E2627" w14:textId="77777777" w:rsidR="00680D31" w:rsidRDefault="00000000">
            <w:pPr>
              <w:spacing w:after="0" w:line="240" w:lineRule="auto"/>
            </w:pPr>
            <w:r>
              <w:t>KNJIŽNICA I ČITAONICA KUTINA</w:t>
            </w:r>
          </w:p>
        </w:tc>
      </w:tr>
      <w:tr w:rsidR="00680D31" w14:paraId="477775BE" w14:textId="77777777">
        <w:tblPrEx>
          <w:tblCellMar>
            <w:top w:w="0" w:type="dxa"/>
            <w:bottom w:w="0" w:type="dxa"/>
          </w:tblCellMar>
        </w:tblPrEx>
        <w:trPr>
          <w:tblCellSpacing w:w="60" w:type="dxa"/>
        </w:trPr>
        <w:tc>
          <w:tcPr>
            <w:tcW w:w="1200" w:type="pct"/>
            <w:shd w:val="clear" w:color="auto" w:fill="E7F0F9"/>
          </w:tcPr>
          <w:p w14:paraId="47472C5E" w14:textId="77777777" w:rsidR="00680D31" w:rsidRDefault="00000000">
            <w:pPr>
              <w:spacing w:after="0" w:line="240" w:lineRule="auto"/>
            </w:pPr>
            <w:r>
              <w:rPr>
                <w:b/>
              </w:rPr>
              <w:t>Razina</w:t>
            </w:r>
          </w:p>
        </w:tc>
        <w:tc>
          <w:tcPr>
            <w:tcW w:w="0" w:type="auto"/>
            <w:shd w:val="clear" w:color="auto" w:fill="E7F0F9"/>
          </w:tcPr>
          <w:p w14:paraId="107DDC41" w14:textId="77777777" w:rsidR="00680D31" w:rsidRDefault="00000000">
            <w:pPr>
              <w:spacing w:after="0" w:line="240" w:lineRule="auto"/>
            </w:pPr>
            <w:r>
              <w:t>21</w:t>
            </w:r>
          </w:p>
        </w:tc>
      </w:tr>
    </w:tbl>
    <w:p w14:paraId="4CECC27B" w14:textId="77777777" w:rsidR="00680D31" w:rsidRDefault="00000000">
      <w:r>
        <w:br/>
      </w:r>
    </w:p>
    <w:p w14:paraId="31EDB4F6" w14:textId="77777777" w:rsidR="00680D31" w:rsidRDefault="00000000">
      <w:pPr>
        <w:spacing w:line="240" w:lineRule="auto"/>
        <w:jc w:val="center"/>
      </w:pPr>
      <w:r>
        <w:rPr>
          <w:b/>
          <w:sz w:val="28"/>
        </w:rPr>
        <w:t>BILJEŠKE UZ FINANCIJSKE IZVJEŠTAJE</w:t>
      </w:r>
    </w:p>
    <w:p w14:paraId="074417C3" w14:textId="77777777" w:rsidR="00680D31" w:rsidRDefault="00000000">
      <w:pPr>
        <w:spacing w:line="240" w:lineRule="auto"/>
        <w:jc w:val="center"/>
      </w:pPr>
      <w:r>
        <w:rPr>
          <w:b/>
          <w:sz w:val="28"/>
        </w:rPr>
        <w:t>ZA RAZDOBLJE</w:t>
      </w:r>
    </w:p>
    <w:p w14:paraId="5A5057E0" w14:textId="77777777" w:rsidR="00680D31" w:rsidRDefault="00000000">
      <w:pPr>
        <w:spacing w:line="240" w:lineRule="auto"/>
        <w:jc w:val="center"/>
      </w:pPr>
      <w:r>
        <w:rPr>
          <w:b/>
          <w:sz w:val="28"/>
        </w:rPr>
        <w:t>I - XII 2025.</w:t>
      </w:r>
    </w:p>
    <w:p w14:paraId="57480384" w14:textId="77777777" w:rsidR="00680D31" w:rsidRDefault="00680D31"/>
    <w:p w14:paraId="00BBC250" w14:textId="77777777" w:rsidR="00680D31" w:rsidRDefault="00000000">
      <w:pPr>
        <w:keepNext/>
        <w:spacing w:line="240" w:lineRule="auto"/>
        <w:jc w:val="center"/>
      </w:pPr>
      <w:r>
        <w:rPr>
          <w:b/>
          <w:sz w:val="28"/>
        </w:rPr>
        <w:t>Izvještaj o prihodima i rashodima, primicima i izdacima</w:t>
      </w:r>
    </w:p>
    <w:p w14:paraId="3E1A24FE" w14:textId="77777777" w:rsidR="00680D31"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7A1891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0A0B61"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6344C7"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527D82"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A59767"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AE2695"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0AE5A3" w14:textId="77777777" w:rsidR="00680D31" w:rsidRDefault="00000000">
            <w:pPr>
              <w:keepNext/>
              <w:keepLines/>
              <w:spacing w:after="0" w:line="240" w:lineRule="auto"/>
              <w:jc w:val="center"/>
            </w:pPr>
            <w:r>
              <w:rPr>
                <w:b/>
                <w:sz w:val="18"/>
              </w:rPr>
              <w:t>Indeks (%)</w:t>
            </w:r>
          </w:p>
        </w:tc>
      </w:tr>
      <w:tr w:rsidR="00680D31" w14:paraId="48073E8C" w14:textId="77777777">
        <w:tblPrEx>
          <w:tblCellMar>
            <w:top w:w="0" w:type="dxa"/>
            <w:bottom w:w="0" w:type="dxa"/>
          </w:tblCellMar>
        </w:tblPrEx>
        <w:trPr>
          <w:cantSplit/>
          <w:trHeight w:val="560"/>
        </w:trPr>
        <w:tc>
          <w:tcPr>
            <w:tcW w:w="700" w:type="dxa"/>
            <w:tcMar>
              <w:top w:w="0" w:type="dxa"/>
              <w:bottom w:w="0" w:type="dxa"/>
            </w:tcMar>
            <w:vAlign w:val="center"/>
          </w:tcPr>
          <w:p w14:paraId="1B8B372D" w14:textId="77777777" w:rsidR="00680D31" w:rsidRDefault="00000000">
            <w:pPr>
              <w:keepNext/>
              <w:keepLines/>
              <w:spacing w:after="0" w:line="240" w:lineRule="auto"/>
            </w:pPr>
            <w:r>
              <w:rPr>
                <w:sz w:val="18"/>
              </w:rPr>
              <w:t>6</w:t>
            </w:r>
          </w:p>
        </w:tc>
        <w:tc>
          <w:tcPr>
            <w:tcW w:w="3180" w:type="dxa"/>
            <w:tcMar>
              <w:top w:w="0" w:type="dxa"/>
              <w:bottom w:w="0" w:type="dxa"/>
            </w:tcMar>
            <w:vAlign w:val="center"/>
          </w:tcPr>
          <w:p w14:paraId="46D08B18" w14:textId="77777777" w:rsidR="00680D3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974F814" w14:textId="77777777" w:rsidR="00680D31" w:rsidRDefault="00000000">
            <w:pPr>
              <w:keepNext/>
              <w:keepLines/>
              <w:spacing w:after="0" w:line="240" w:lineRule="auto"/>
            </w:pPr>
            <w:r>
              <w:rPr>
                <w:sz w:val="18"/>
              </w:rPr>
              <w:t>6</w:t>
            </w:r>
          </w:p>
        </w:tc>
        <w:tc>
          <w:tcPr>
            <w:tcW w:w="1860" w:type="dxa"/>
            <w:tcMar>
              <w:top w:w="0" w:type="dxa"/>
              <w:bottom w:w="0" w:type="dxa"/>
            </w:tcMar>
            <w:vAlign w:val="center"/>
          </w:tcPr>
          <w:p w14:paraId="275DE15F" w14:textId="77777777" w:rsidR="00680D31" w:rsidRDefault="00000000">
            <w:pPr>
              <w:keepNext/>
              <w:keepLines/>
              <w:spacing w:after="0" w:line="240" w:lineRule="auto"/>
              <w:jc w:val="right"/>
            </w:pPr>
            <w:r>
              <w:rPr>
                <w:sz w:val="18"/>
              </w:rPr>
              <w:t>702.336,94</w:t>
            </w:r>
          </w:p>
        </w:tc>
        <w:tc>
          <w:tcPr>
            <w:tcW w:w="1860" w:type="dxa"/>
            <w:tcMar>
              <w:top w:w="0" w:type="dxa"/>
              <w:bottom w:w="0" w:type="dxa"/>
            </w:tcMar>
            <w:vAlign w:val="center"/>
          </w:tcPr>
          <w:p w14:paraId="579BC5A3" w14:textId="77777777" w:rsidR="00680D31" w:rsidRDefault="00000000">
            <w:pPr>
              <w:keepNext/>
              <w:keepLines/>
              <w:spacing w:after="0" w:line="240" w:lineRule="auto"/>
              <w:jc w:val="right"/>
            </w:pPr>
            <w:r>
              <w:rPr>
                <w:sz w:val="18"/>
              </w:rPr>
              <w:t>384.653,21</w:t>
            </w:r>
          </w:p>
        </w:tc>
        <w:tc>
          <w:tcPr>
            <w:tcW w:w="700" w:type="dxa"/>
            <w:tcMar>
              <w:top w:w="0" w:type="dxa"/>
              <w:bottom w:w="0" w:type="dxa"/>
            </w:tcMar>
            <w:vAlign w:val="center"/>
          </w:tcPr>
          <w:p w14:paraId="0DF9ED0A" w14:textId="77777777" w:rsidR="00680D31" w:rsidRDefault="00000000">
            <w:pPr>
              <w:keepNext/>
              <w:keepLines/>
              <w:spacing w:after="0" w:line="240" w:lineRule="auto"/>
              <w:jc w:val="right"/>
            </w:pPr>
            <w:r>
              <w:rPr>
                <w:sz w:val="18"/>
              </w:rPr>
              <w:t>54,8</w:t>
            </w:r>
          </w:p>
        </w:tc>
      </w:tr>
      <w:tr w:rsidR="00680D31" w14:paraId="7AF0CC9E" w14:textId="77777777">
        <w:tblPrEx>
          <w:tblCellMar>
            <w:top w:w="0" w:type="dxa"/>
            <w:bottom w:w="0" w:type="dxa"/>
          </w:tblCellMar>
        </w:tblPrEx>
        <w:trPr>
          <w:cantSplit/>
          <w:trHeight w:val="560"/>
        </w:trPr>
        <w:tc>
          <w:tcPr>
            <w:tcW w:w="700" w:type="dxa"/>
            <w:tcMar>
              <w:top w:w="0" w:type="dxa"/>
              <w:bottom w:w="0" w:type="dxa"/>
            </w:tcMar>
            <w:vAlign w:val="center"/>
          </w:tcPr>
          <w:p w14:paraId="58F75740" w14:textId="77777777" w:rsidR="00680D31" w:rsidRDefault="00000000">
            <w:pPr>
              <w:keepNext/>
              <w:keepLines/>
              <w:spacing w:after="0" w:line="240" w:lineRule="auto"/>
            </w:pPr>
            <w:r>
              <w:rPr>
                <w:sz w:val="18"/>
              </w:rPr>
              <w:t>3</w:t>
            </w:r>
          </w:p>
        </w:tc>
        <w:tc>
          <w:tcPr>
            <w:tcW w:w="3180" w:type="dxa"/>
            <w:tcMar>
              <w:top w:w="0" w:type="dxa"/>
              <w:bottom w:w="0" w:type="dxa"/>
            </w:tcMar>
            <w:vAlign w:val="center"/>
          </w:tcPr>
          <w:p w14:paraId="23DB1CA6" w14:textId="77777777" w:rsidR="00680D31"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7E6E373" w14:textId="77777777" w:rsidR="00680D31" w:rsidRDefault="00000000">
            <w:pPr>
              <w:keepNext/>
              <w:keepLines/>
              <w:spacing w:after="0" w:line="240" w:lineRule="auto"/>
            </w:pPr>
            <w:r>
              <w:rPr>
                <w:sz w:val="18"/>
              </w:rPr>
              <w:t>3</w:t>
            </w:r>
          </w:p>
        </w:tc>
        <w:tc>
          <w:tcPr>
            <w:tcW w:w="1860" w:type="dxa"/>
            <w:tcMar>
              <w:top w:w="0" w:type="dxa"/>
              <w:bottom w:w="0" w:type="dxa"/>
            </w:tcMar>
            <w:vAlign w:val="center"/>
          </w:tcPr>
          <w:p w14:paraId="5FB06FC4" w14:textId="77777777" w:rsidR="00680D31" w:rsidRDefault="00000000">
            <w:pPr>
              <w:keepNext/>
              <w:keepLines/>
              <w:spacing w:after="0" w:line="240" w:lineRule="auto"/>
              <w:jc w:val="right"/>
            </w:pPr>
            <w:r>
              <w:rPr>
                <w:sz w:val="18"/>
              </w:rPr>
              <w:t>198.408,58</w:t>
            </w:r>
          </w:p>
        </w:tc>
        <w:tc>
          <w:tcPr>
            <w:tcW w:w="1860" w:type="dxa"/>
            <w:tcMar>
              <w:top w:w="0" w:type="dxa"/>
              <w:bottom w:w="0" w:type="dxa"/>
            </w:tcMar>
            <w:vAlign w:val="center"/>
          </w:tcPr>
          <w:p w14:paraId="0EBCACDD" w14:textId="77777777" w:rsidR="00680D31" w:rsidRDefault="00000000">
            <w:pPr>
              <w:keepNext/>
              <w:keepLines/>
              <w:spacing w:after="0" w:line="240" w:lineRule="auto"/>
              <w:jc w:val="right"/>
            </w:pPr>
            <w:r>
              <w:rPr>
                <w:sz w:val="18"/>
              </w:rPr>
              <w:t>236.762,62</w:t>
            </w:r>
          </w:p>
        </w:tc>
        <w:tc>
          <w:tcPr>
            <w:tcW w:w="700" w:type="dxa"/>
            <w:tcMar>
              <w:top w:w="0" w:type="dxa"/>
              <w:bottom w:w="0" w:type="dxa"/>
            </w:tcMar>
            <w:vAlign w:val="center"/>
          </w:tcPr>
          <w:p w14:paraId="77405B05" w14:textId="77777777" w:rsidR="00680D31" w:rsidRDefault="00000000">
            <w:pPr>
              <w:keepNext/>
              <w:keepLines/>
              <w:spacing w:after="0" w:line="240" w:lineRule="auto"/>
              <w:jc w:val="right"/>
            </w:pPr>
            <w:r>
              <w:rPr>
                <w:sz w:val="18"/>
              </w:rPr>
              <w:t>119,3</w:t>
            </w:r>
          </w:p>
        </w:tc>
      </w:tr>
      <w:tr w:rsidR="00680D31" w14:paraId="651D4796" w14:textId="77777777">
        <w:tblPrEx>
          <w:tblCellMar>
            <w:top w:w="0" w:type="dxa"/>
            <w:bottom w:w="0" w:type="dxa"/>
          </w:tblCellMar>
        </w:tblPrEx>
        <w:trPr>
          <w:cantSplit/>
          <w:trHeight w:val="560"/>
        </w:trPr>
        <w:tc>
          <w:tcPr>
            <w:tcW w:w="700" w:type="dxa"/>
            <w:tcMar>
              <w:top w:w="0" w:type="dxa"/>
              <w:bottom w:w="0" w:type="dxa"/>
            </w:tcMar>
            <w:vAlign w:val="center"/>
          </w:tcPr>
          <w:p w14:paraId="02E6C8B5" w14:textId="77777777" w:rsidR="00680D31" w:rsidRDefault="00680D31">
            <w:pPr>
              <w:keepNext/>
              <w:keepLines/>
              <w:spacing w:after="0" w:line="240" w:lineRule="auto"/>
            </w:pPr>
          </w:p>
        </w:tc>
        <w:tc>
          <w:tcPr>
            <w:tcW w:w="3180" w:type="dxa"/>
            <w:tcMar>
              <w:top w:w="0" w:type="dxa"/>
              <w:bottom w:w="0" w:type="dxa"/>
            </w:tcMar>
            <w:vAlign w:val="center"/>
          </w:tcPr>
          <w:p w14:paraId="6AAE6C3E" w14:textId="77777777" w:rsidR="00680D31"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07B71F9" w14:textId="77777777" w:rsidR="00680D31" w:rsidRDefault="00000000">
            <w:pPr>
              <w:keepNext/>
              <w:keepLines/>
              <w:spacing w:after="0" w:line="240" w:lineRule="auto"/>
            </w:pPr>
            <w:r>
              <w:rPr>
                <w:b/>
                <w:sz w:val="18"/>
              </w:rPr>
              <w:t>X001</w:t>
            </w:r>
          </w:p>
        </w:tc>
        <w:tc>
          <w:tcPr>
            <w:tcW w:w="1860" w:type="dxa"/>
            <w:tcMar>
              <w:top w:w="0" w:type="dxa"/>
              <w:bottom w:w="0" w:type="dxa"/>
            </w:tcMar>
            <w:vAlign w:val="center"/>
          </w:tcPr>
          <w:p w14:paraId="5AD03A11" w14:textId="77777777" w:rsidR="00680D31" w:rsidRDefault="00000000">
            <w:pPr>
              <w:keepNext/>
              <w:keepLines/>
              <w:spacing w:after="0" w:line="240" w:lineRule="auto"/>
              <w:jc w:val="right"/>
            </w:pPr>
            <w:r>
              <w:rPr>
                <w:b/>
                <w:sz w:val="18"/>
              </w:rPr>
              <w:t>503.928,36</w:t>
            </w:r>
          </w:p>
        </w:tc>
        <w:tc>
          <w:tcPr>
            <w:tcW w:w="1860" w:type="dxa"/>
            <w:tcMar>
              <w:top w:w="0" w:type="dxa"/>
              <w:bottom w:w="0" w:type="dxa"/>
            </w:tcMar>
            <w:vAlign w:val="center"/>
          </w:tcPr>
          <w:p w14:paraId="01508B80" w14:textId="77777777" w:rsidR="00680D31" w:rsidRDefault="00000000">
            <w:pPr>
              <w:keepNext/>
              <w:keepLines/>
              <w:spacing w:after="0" w:line="240" w:lineRule="auto"/>
              <w:jc w:val="right"/>
            </w:pPr>
            <w:r>
              <w:rPr>
                <w:b/>
                <w:sz w:val="18"/>
              </w:rPr>
              <w:t>147.890,59</w:t>
            </w:r>
          </w:p>
        </w:tc>
        <w:tc>
          <w:tcPr>
            <w:tcW w:w="700" w:type="dxa"/>
            <w:tcMar>
              <w:top w:w="0" w:type="dxa"/>
              <w:bottom w:w="0" w:type="dxa"/>
            </w:tcMar>
            <w:vAlign w:val="center"/>
          </w:tcPr>
          <w:p w14:paraId="0A046181" w14:textId="77777777" w:rsidR="00680D31" w:rsidRDefault="00000000">
            <w:pPr>
              <w:keepNext/>
              <w:keepLines/>
              <w:spacing w:after="0" w:line="240" w:lineRule="auto"/>
              <w:jc w:val="right"/>
            </w:pPr>
            <w:r>
              <w:rPr>
                <w:b/>
                <w:sz w:val="18"/>
              </w:rPr>
              <w:t>29,3</w:t>
            </w:r>
          </w:p>
        </w:tc>
      </w:tr>
      <w:tr w:rsidR="00680D31" w14:paraId="3CD1107E" w14:textId="77777777">
        <w:tblPrEx>
          <w:tblCellMar>
            <w:top w:w="0" w:type="dxa"/>
            <w:bottom w:w="0" w:type="dxa"/>
          </w:tblCellMar>
        </w:tblPrEx>
        <w:trPr>
          <w:cantSplit/>
          <w:trHeight w:val="560"/>
        </w:trPr>
        <w:tc>
          <w:tcPr>
            <w:tcW w:w="700" w:type="dxa"/>
            <w:tcMar>
              <w:top w:w="0" w:type="dxa"/>
              <w:bottom w:w="0" w:type="dxa"/>
            </w:tcMar>
            <w:vAlign w:val="center"/>
          </w:tcPr>
          <w:p w14:paraId="2F5033E6" w14:textId="77777777" w:rsidR="00680D31" w:rsidRDefault="00000000">
            <w:pPr>
              <w:keepNext/>
              <w:keepLines/>
              <w:spacing w:after="0" w:line="240" w:lineRule="auto"/>
            </w:pPr>
            <w:r>
              <w:rPr>
                <w:sz w:val="18"/>
              </w:rPr>
              <w:t>7</w:t>
            </w:r>
          </w:p>
        </w:tc>
        <w:tc>
          <w:tcPr>
            <w:tcW w:w="3180" w:type="dxa"/>
            <w:tcMar>
              <w:top w:w="0" w:type="dxa"/>
              <w:bottom w:w="0" w:type="dxa"/>
            </w:tcMar>
            <w:vAlign w:val="center"/>
          </w:tcPr>
          <w:p w14:paraId="32E3DE04" w14:textId="77777777" w:rsidR="00680D3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AC902A9" w14:textId="77777777" w:rsidR="00680D31" w:rsidRDefault="00000000">
            <w:pPr>
              <w:keepNext/>
              <w:keepLines/>
              <w:spacing w:after="0" w:line="240" w:lineRule="auto"/>
            </w:pPr>
            <w:r>
              <w:rPr>
                <w:sz w:val="18"/>
              </w:rPr>
              <w:t>7</w:t>
            </w:r>
          </w:p>
        </w:tc>
        <w:tc>
          <w:tcPr>
            <w:tcW w:w="1860" w:type="dxa"/>
            <w:tcMar>
              <w:top w:w="0" w:type="dxa"/>
              <w:bottom w:w="0" w:type="dxa"/>
            </w:tcMar>
            <w:vAlign w:val="center"/>
          </w:tcPr>
          <w:p w14:paraId="3C780AFA"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6449DCC7" w14:textId="77777777" w:rsidR="00680D31" w:rsidRDefault="00000000">
            <w:pPr>
              <w:keepNext/>
              <w:keepLines/>
              <w:spacing w:after="0" w:line="240" w:lineRule="auto"/>
              <w:jc w:val="right"/>
            </w:pPr>
            <w:r>
              <w:rPr>
                <w:sz w:val="18"/>
              </w:rPr>
              <w:t>0,00</w:t>
            </w:r>
          </w:p>
        </w:tc>
        <w:tc>
          <w:tcPr>
            <w:tcW w:w="700" w:type="dxa"/>
            <w:tcMar>
              <w:top w:w="0" w:type="dxa"/>
              <w:bottom w:w="0" w:type="dxa"/>
            </w:tcMar>
            <w:vAlign w:val="center"/>
          </w:tcPr>
          <w:p w14:paraId="00A7B4D5" w14:textId="77777777" w:rsidR="00680D31" w:rsidRDefault="00000000">
            <w:pPr>
              <w:keepNext/>
              <w:keepLines/>
              <w:spacing w:after="0" w:line="240" w:lineRule="auto"/>
              <w:jc w:val="right"/>
            </w:pPr>
            <w:r>
              <w:rPr>
                <w:sz w:val="18"/>
              </w:rPr>
              <w:t>-</w:t>
            </w:r>
          </w:p>
        </w:tc>
      </w:tr>
      <w:tr w:rsidR="00680D31" w14:paraId="79B9EB0F" w14:textId="77777777">
        <w:tblPrEx>
          <w:tblCellMar>
            <w:top w:w="0" w:type="dxa"/>
            <w:bottom w:w="0" w:type="dxa"/>
          </w:tblCellMar>
        </w:tblPrEx>
        <w:trPr>
          <w:cantSplit/>
          <w:trHeight w:val="560"/>
        </w:trPr>
        <w:tc>
          <w:tcPr>
            <w:tcW w:w="700" w:type="dxa"/>
            <w:tcMar>
              <w:top w:w="0" w:type="dxa"/>
              <w:bottom w:w="0" w:type="dxa"/>
            </w:tcMar>
            <w:vAlign w:val="center"/>
          </w:tcPr>
          <w:p w14:paraId="3B7285B2" w14:textId="77777777" w:rsidR="00680D31" w:rsidRDefault="00000000">
            <w:pPr>
              <w:keepNext/>
              <w:keepLines/>
              <w:spacing w:after="0" w:line="240" w:lineRule="auto"/>
            </w:pPr>
            <w:r>
              <w:rPr>
                <w:sz w:val="18"/>
              </w:rPr>
              <w:t>4</w:t>
            </w:r>
          </w:p>
        </w:tc>
        <w:tc>
          <w:tcPr>
            <w:tcW w:w="3180" w:type="dxa"/>
            <w:tcMar>
              <w:top w:w="0" w:type="dxa"/>
              <w:bottom w:w="0" w:type="dxa"/>
            </w:tcMar>
            <w:vAlign w:val="center"/>
          </w:tcPr>
          <w:p w14:paraId="337FCD64" w14:textId="77777777" w:rsidR="00680D3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8F732FE" w14:textId="77777777" w:rsidR="00680D31" w:rsidRDefault="00000000">
            <w:pPr>
              <w:keepNext/>
              <w:keepLines/>
              <w:spacing w:after="0" w:line="240" w:lineRule="auto"/>
            </w:pPr>
            <w:r>
              <w:rPr>
                <w:sz w:val="18"/>
              </w:rPr>
              <w:t>4</w:t>
            </w:r>
          </w:p>
        </w:tc>
        <w:tc>
          <w:tcPr>
            <w:tcW w:w="1860" w:type="dxa"/>
            <w:tcMar>
              <w:top w:w="0" w:type="dxa"/>
              <w:bottom w:w="0" w:type="dxa"/>
            </w:tcMar>
            <w:vAlign w:val="center"/>
          </w:tcPr>
          <w:p w14:paraId="4E6C26EB" w14:textId="77777777" w:rsidR="00680D31" w:rsidRDefault="00000000">
            <w:pPr>
              <w:keepNext/>
              <w:keepLines/>
              <w:spacing w:after="0" w:line="240" w:lineRule="auto"/>
              <w:jc w:val="right"/>
            </w:pPr>
            <w:r>
              <w:rPr>
                <w:sz w:val="18"/>
              </w:rPr>
              <w:t>508.817,78</w:t>
            </w:r>
          </w:p>
        </w:tc>
        <w:tc>
          <w:tcPr>
            <w:tcW w:w="1860" w:type="dxa"/>
            <w:tcMar>
              <w:top w:w="0" w:type="dxa"/>
              <w:bottom w:w="0" w:type="dxa"/>
            </w:tcMar>
            <w:vAlign w:val="center"/>
          </w:tcPr>
          <w:p w14:paraId="261DEDC0" w14:textId="77777777" w:rsidR="00680D31" w:rsidRDefault="00000000">
            <w:pPr>
              <w:keepNext/>
              <w:keepLines/>
              <w:spacing w:after="0" w:line="240" w:lineRule="auto"/>
              <w:jc w:val="right"/>
            </w:pPr>
            <w:r>
              <w:rPr>
                <w:sz w:val="18"/>
              </w:rPr>
              <w:t>231.188,13</w:t>
            </w:r>
          </w:p>
        </w:tc>
        <w:tc>
          <w:tcPr>
            <w:tcW w:w="700" w:type="dxa"/>
            <w:tcMar>
              <w:top w:w="0" w:type="dxa"/>
              <w:bottom w:w="0" w:type="dxa"/>
            </w:tcMar>
            <w:vAlign w:val="center"/>
          </w:tcPr>
          <w:p w14:paraId="65369333" w14:textId="77777777" w:rsidR="00680D31" w:rsidRDefault="00000000">
            <w:pPr>
              <w:keepNext/>
              <w:keepLines/>
              <w:spacing w:after="0" w:line="240" w:lineRule="auto"/>
              <w:jc w:val="right"/>
            </w:pPr>
            <w:r>
              <w:rPr>
                <w:sz w:val="18"/>
              </w:rPr>
              <w:t>45,4</w:t>
            </w:r>
          </w:p>
        </w:tc>
      </w:tr>
      <w:tr w:rsidR="00680D31" w14:paraId="510CB374" w14:textId="77777777">
        <w:tblPrEx>
          <w:tblCellMar>
            <w:top w:w="0" w:type="dxa"/>
            <w:bottom w:w="0" w:type="dxa"/>
          </w:tblCellMar>
        </w:tblPrEx>
        <w:trPr>
          <w:cantSplit/>
          <w:trHeight w:val="560"/>
        </w:trPr>
        <w:tc>
          <w:tcPr>
            <w:tcW w:w="700" w:type="dxa"/>
            <w:tcMar>
              <w:top w:w="0" w:type="dxa"/>
              <w:bottom w:w="0" w:type="dxa"/>
            </w:tcMar>
            <w:vAlign w:val="center"/>
          </w:tcPr>
          <w:p w14:paraId="6C7B8EFD" w14:textId="77777777" w:rsidR="00680D31" w:rsidRDefault="00680D31">
            <w:pPr>
              <w:keepNext/>
              <w:keepLines/>
              <w:spacing w:after="0" w:line="240" w:lineRule="auto"/>
            </w:pPr>
          </w:p>
        </w:tc>
        <w:tc>
          <w:tcPr>
            <w:tcW w:w="3180" w:type="dxa"/>
            <w:tcMar>
              <w:top w:w="0" w:type="dxa"/>
              <w:bottom w:w="0" w:type="dxa"/>
            </w:tcMar>
            <w:vAlign w:val="center"/>
          </w:tcPr>
          <w:p w14:paraId="5B297984" w14:textId="77777777" w:rsidR="00680D31"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127B5A9" w14:textId="77777777" w:rsidR="00680D31" w:rsidRDefault="00000000">
            <w:pPr>
              <w:keepNext/>
              <w:keepLines/>
              <w:spacing w:after="0" w:line="240" w:lineRule="auto"/>
            </w:pPr>
            <w:r>
              <w:rPr>
                <w:b/>
                <w:sz w:val="18"/>
              </w:rPr>
              <w:t>Y002</w:t>
            </w:r>
          </w:p>
        </w:tc>
        <w:tc>
          <w:tcPr>
            <w:tcW w:w="1860" w:type="dxa"/>
            <w:tcMar>
              <w:top w:w="0" w:type="dxa"/>
              <w:bottom w:w="0" w:type="dxa"/>
            </w:tcMar>
            <w:vAlign w:val="center"/>
          </w:tcPr>
          <w:p w14:paraId="4B710623" w14:textId="77777777" w:rsidR="00680D31" w:rsidRDefault="00000000">
            <w:pPr>
              <w:keepNext/>
              <w:keepLines/>
              <w:spacing w:after="0" w:line="240" w:lineRule="auto"/>
              <w:jc w:val="right"/>
            </w:pPr>
            <w:r>
              <w:rPr>
                <w:b/>
                <w:sz w:val="18"/>
              </w:rPr>
              <w:t>508.817,78</w:t>
            </w:r>
          </w:p>
        </w:tc>
        <w:tc>
          <w:tcPr>
            <w:tcW w:w="1860" w:type="dxa"/>
            <w:tcMar>
              <w:top w:w="0" w:type="dxa"/>
              <w:bottom w:w="0" w:type="dxa"/>
            </w:tcMar>
            <w:vAlign w:val="center"/>
          </w:tcPr>
          <w:p w14:paraId="4A053C37" w14:textId="77777777" w:rsidR="00680D31" w:rsidRDefault="00000000">
            <w:pPr>
              <w:keepNext/>
              <w:keepLines/>
              <w:spacing w:after="0" w:line="240" w:lineRule="auto"/>
              <w:jc w:val="right"/>
            </w:pPr>
            <w:r>
              <w:rPr>
                <w:b/>
                <w:sz w:val="18"/>
              </w:rPr>
              <w:t>231.188,13</w:t>
            </w:r>
          </w:p>
        </w:tc>
        <w:tc>
          <w:tcPr>
            <w:tcW w:w="700" w:type="dxa"/>
            <w:tcMar>
              <w:top w:w="0" w:type="dxa"/>
              <w:bottom w:w="0" w:type="dxa"/>
            </w:tcMar>
            <w:vAlign w:val="center"/>
          </w:tcPr>
          <w:p w14:paraId="45E3D91B" w14:textId="77777777" w:rsidR="00680D31" w:rsidRDefault="00000000">
            <w:pPr>
              <w:keepNext/>
              <w:keepLines/>
              <w:spacing w:after="0" w:line="240" w:lineRule="auto"/>
              <w:jc w:val="right"/>
            </w:pPr>
            <w:r>
              <w:rPr>
                <w:b/>
                <w:sz w:val="18"/>
              </w:rPr>
              <w:t>45,4</w:t>
            </w:r>
          </w:p>
        </w:tc>
      </w:tr>
      <w:tr w:rsidR="00680D31" w14:paraId="3754B5C6" w14:textId="77777777">
        <w:tblPrEx>
          <w:tblCellMar>
            <w:top w:w="0" w:type="dxa"/>
            <w:bottom w:w="0" w:type="dxa"/>
          </w:tblCellMar>
        </w:tblPrEx>
        <w:trPr>
          <w:cantSplit/>
          <w:trHeight w:val="560"/>
        </w:trPr>
        <w:tc>
          <w:tcPr>
            <w:tcW w:w="700" w:type="dxa"/>
            <w:tcMar>
              <w:top w:w="0" w:type="dxa"/>
              <w:bottom w:w="0" w:type="dxa"/>
            </w:tcMar>
            <w:vAlign w:val="center"/>
          </w:tcPr>
          <w:p w14:paraId="6F4D5064" w14:textId="77777777" w:rsidR="00680D31" w:rsidRDefault="00000000">
            <w:pPr>
              <w:keepNext/>
              <w:keepLines/>
              <w:spacing w:after="0" w:line="240" w:lineRule="auto"/>
            </w:pPr>
            <w:r>
              <w:rPr>
                <w:sz w:val="18"/>
              </w:rPr>
              <w:t>8</w:t>
            </w:r>
          </w:p>
        </w:tc>
        <w:tc>
          <w:tcPr>
            <w:tcW w:w="3180" w:type="dxa"/>
            <w:tcMar>
              <w:top w:w="0" w:type="dxa"/>
              <w:bottom w:w="0" w:type="dxa"/>
            </w:tcMar>
            <w:vAlign w:val="center"/>
          </w:tcPr>
          <w:p w14:paraId="0411F1B6" w14:textId="77777777" w:rsidR="00680D3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F727D74" w14:textId="77777777" w:rsidR="00680D31" w:rsidRDefault="00000000">
            <w:pPr>
              <w:keepNext/>
              <w:keepLines/>
              <w:spacing w:after="0" w:line="240" w:lineRule="auto"/>
            </w:pPr>
            <w:r>
              <w:rPr>
                <w:sz w:val="18"/>
              </w:rPr>
              <w:t>8</w:t>
            </w:r>
          </w:p>
        </w:tc>
        <w:tc>
          <w:tcPr>
            <w:tcW w:w="1860" w:type="dxa"/>
            <w:tcMar>
              <w:top w:w="0" w:type="dxa"/>
              <w:bottom w:w="0" w:type="dxa"/>
            </w:tcMar>
            <w:vAlign w:val="center"/>
          </w:tcPr>
          <w:p w14:paraId="264396AC"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09F7FB8F" w14:textId="77777777" w:rsidR="00680D31" w:rsidRDefault="00000000">
            <w:pPr>
              <w:keepNext/>
              <w:keepLines/>
              <w:spacing w:after="0" w:line="240" w:lineRule="auto"/>
              <w:jc w:val="right"/>
            </w:pPr>
            <w:r>
              <w:rPr>
                <w:sz w:val="18"/>
              </w:rPr>
              <w:t>0,00</w:t>
            </w:r>
          </w:p>
        </w:tc>
        <w:tc>
          <w:tcPr>
            <w:tcW w:w="700" w:type="dxa"/>
            <w:tcMar>
              <w:top w:w="0" w:type="dxa"/>
              <w:bottom w:w="0" w:type="dxa"/>
            </w:tcMar>
            <w:vAlign w:val="center"/>
          </w:tcPr>
          <w:p w14:paraId="097A63D6" w14:textId="77777777" w:rsidR="00680D31" w:rsidRDefault="00000000">
            <w:pPr>
              <w:keepNext/>
              <w:keepLines/>
              <w:spacing w:after="0" w:line="240" w:lineRule="auto"/>
              <w:jc w:val="right"/>
            </w:pPr>
            <w:r>
              <w:rPr>
                <w:sz w:val="18"/>
              </w:rPr>
              <w:t>-</w:t>
            </w:r>
          </w:p>
        </w:tc>
      </w:tr>
      <w:tr w:rsidR="00680D31" w14:paraId="66B4CE9C" w14:textId="77777777">
        <w:tblPrEx>
          <w:tblCellMar>
            <w:top w:w="0" w:type="dxa"/>
            <w:bottom w:w="0" w:type="dxa"/>
          </w:tblCellMar>
        </w:tblPrEx>
        <w:trPr>
          <w:cantSplit/>
          <w:trHeight w:val="560"/>
        </w:trPr>
        <w:tc>
          <w:tcPr>
            <w:tcW w:w="700" w:type="dxa"/>
            <w:tcMar>
              <w:top w:w="0" w:type="dxa"/>
              <w:bottom w:w="0" w:type="dxa"/>
            </w:tcMar>
            <w:vAlign w:val="center"/>
          </w:tcPr>
          <w:p w14:paraId="47CE4D23" w14:textId="77777777" w:rsidR="00680D31" w:rsidRDefault="00000000">
            <w:pPr>
              <w:keepNext/>
              <w:keepLines/>
              <w:spacing w:after="0" w:line="240" w:lineRule="auto"/>
            </w:pPr>
            <w:r>
              <w:rPr>
                <w:sz w:val="18"/>
              </w:rPr>
              <w:t>5</w:t>
            </w:r>
          </w:p>
        </w:tc>
        <w:tc>
          <w:tcPr>
            <w:tcW w:w="3180" w:type="dxa"/>
            <w:tcMar>
              <w:top w:w="0" w:type="dxa"/>
              <w:bottom w:w="0" w:type="dxa"/>
            </w:tcMar>
            <w:vAlign w:val="center"/>
          </w:tcPr>
          <w:p w14:paraId="50721A3F" w14:textId="77777777" w:rsidR="00680D3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465B742" w14:textId="77777777" w:rsidR="00680D31" w:rsidRDefault="00000000">
            <w:pPr>
              <w:keepNext/>
              <w:keepLines/>
              <w:spacing w:after="0" w:line="240" w:lineRule="auto"/>
            </w:pPr>
            <w:r>
              <w:rPr>
                <w:sz w:val="18"/>
              </w:rPr>
              <w:t>5</w:t>
            </w:r>
          </w:p>
        </w:tc>
        <w:tc>
          <w:tcPr>
            <w:tcW w:w="1860" w:type="dxa"/>
            <w:tcMar>
              <w:top w:w="0" w:type="dxa"/>
              <w:bottom w:w="0" w:type="dxa"/>
            </w:tcMar>
            <w:vAlign w:val="center"/>
          </w:tcPr>
          <w:p w14:paraId="0D3426B0"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24BCDAE5" w14:textId="77777777" w:rsidR="00680D31" w:rsidRDefault="00000000">
            <w:pPr>
              <w:keepNext/>
              <w:keepLines/>
              <w:spacing w:after="0" w:line="240" w:lineRule="auto"/>
              <w:jc w:val="right"/>
            </w:pPr>
            <w:r>
              <w:rPr>
                <w:sz w:val="18"/>
              </w:rPr>
              <w:t>0,00</w:t>
            </w:r>
          </w:p>
        </w:tc>
        <w:tc>
          <w:tcPr>
            <w:tcW w:w="700" w:type="dxa"/>
            <w:tcMar>
              <w:top w:w="0" w:type="dxa"/>
              <w:bottom w:w="0" w:type="dxa"/>
            </w:tcMar>
            <w:vAlign w:val="center"/>
          </w:tcPr>
          <w:p w14:paraId="7C265C6D" w14:textId="77777777" w:rsidR="00680D31" w:rsidRDefault="00000000">
            <w:pPr>
              <w:keepNext/>
              <w:keepLines/>
              <w:spacing w:after="0" w:line="240" w:lineRule="auto"/>
              <w:jc w:val="right"/>
            </w:pPr>
            <w:r>
              <w:rPr>
                <w:sz w:val="18"/>
              </w:rPr>
              <w:t>-</w:t>
            </w:r>
          </w:p>
        </w:tc>
      </w:tr>
      <w:tr w:rsidR="00680D31" w14:paraId="63B46604" w14:textId="77777777">
        <w:tblPrEx>
          <w:tblCellMar>
            <w:top w:w="0" w:type="dxa"/>
            <w:bottom w:w="0" w:type="dxa"/>
          </w:tblCellMar>
        </w:tblPrEx>
        <w:trPr>
          <w:cantSplit/>
          <w:trHeight w:val="560"/>
        </w:trPr>
        <w:tc>
          <w:tcPr>
            <w:tcW w:w="700" w:type="dxa"/>
            <w:tcMar>
              <w:top w:w="0" w:type="dxa"/>
              <w:bottom w:w="0" w:type="dxa"/>
            </w:tcMar>
            <w:vAlign w:val="center"/>
          </w:tcPr>
          <w:p w14:paraId="4167312E" w14:textId="77777777" w:rsidR="00680D31" w:rsidRDefault="00680D31">
            <w:pPr>
              <w:keepNext/>
              <w:keepLines/>
              <w:spacing w:after="0" w:line="240" w:lineRule="auto"/>
            </w:pPr>
          </w:p>
        </w:tc>
        <w:tc>
          <w:tcPr>
            <w:tcW w:w="3180" w:type="dxa"/>
            <w:tcMar>
              <w:top w:w="0" w:type="dxa"/>
              <w:bottom w:w="0" w:type="dxa"/>
            </w:tcMar>
            <w:vAlign w:val="center"/>
          </w:tcPr>
          <w:p w14:paraId="2ED68AE1" w14:textId="77777777" w:rsidR="00680D31"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79A930E" w14:textId="77777777" w:rsidR="00680D31" w:rsidRDefault="00000000">
            <w:pPr>
              <w:keepNext/>
              <w:keepLines/>
              <w:spacing w:after="0" w:line="240" w:lineRule="auto"/>
            </w:pPr>
            <w:r>
              <w:rPr>
                <w:b/>
                <w:sz w:val="18"/>
              </w:rPr>
              <w:t>X003, Y003</w:t>
            </w:r>
          </w:p>
        </w:tc>
        <w:tc>
          <w:tcPr>
            <w:tcW w:w="1860" w:type="dxa"/>
            <w:tcMar>
              <w:top w:w="0" w:type="dxa"/>
              <w:bottom w:w="0" w:type="dxa"/>
            </w:tcMar>
            <w:vAlign w:val="center"/>
          </w:tcPr>
          <w:p w14:paraId="00087E92" w14:textId="77777777" w:rsidR="00680D31" w:rsidRDefault="00000000">
            <w:pPr>
              <w:keepNext/>
              <w:keepLines/>
              <w:spacing w:after="0" w:line="240" w:lineRule="auto"/>
              <w:jc w:val="right"/>
            </w:pPr>
            <w:r>
              <w:rPr>
                <w:b/>
                <w:sz w:val="18"/>
              </w:rPr>
              <w:t>0,00</w:t>
            </w:r>
          </w:p>
        </w:tc>
        <w:tc>
          <w:tcPr>
            <w:tcW w:w="1860" w:type="dxa"/>
            <w:tcMar>
              <w:top w:w="0" w:type="dxa"/>
              <w:bottom w:w="0" w:type="dxa"/>
            </w:tcMar>
            <w:vAlign w:val="center"/>
          </w:tcPr>
          <w:p w14:paraId="60EC4B87" w14:textId="77777777" w:rsidR="00680D31" w:rsidRDefault="00000000">
            <w:pPr>
              <w:keepNext/>
              <w:keepLines/>
              <w:spacing w:after="0" w:line="240" w:lineRule="auto"/>
              <w:jc w:val="right"/>
            </w:pPr>
            <w:r>
              <w:rPr>
                <w:b/>
                <w:sz w:val="18"/>
              </w:rPr>
              <w:t>0,00</w:t>
            </w:r>
          </w:p>
        </w:tc>
        <w:tc>
          <w:tcPr>
            <w:tcW w:w="700" w:type="dxa"/>
            <w:tcMar>
              <w:top w:w="0" w:type="dxa"/>
              <w:bottom w:w="0" w:type="dxa"/>
            </w:tcMar>
            <w:vAlign w:val="center"/>
          </w:tcPr>
          <w:p w14:paraId="641A657D" w14:textId="77777777" w:rsidR="00680D31" w:rsidRDefault="00000000">
            <w:pPr>
              <w:keepNext/>
              <w:keepLines/>
              <w:spacing w:after="0" w:line="240" w:lineRule="auto"/>
              <w:jc w:val="right"/>
            </w:pPr>
            <w:r>
              <w:rPr>
                <w:b/>
                <w:sz w:val="18"/>
              </w:rPr>
              <w:t>-</w:t>
            </w:r>
          </w:p>
        </w:tc>
      </w:tr>
      <w:tr w:rsidR="00680D31" w14:paraId="49A761E3" w14:textId="77777777">
        <w:tblPrEx>
          <w:tblCellMar>
            <w:top w:w="0" w:type="dxa"/>
            <w:bottom w:w="0" w:type="dxa"/>
          </w:tblCellMar>
        </w:tblPrEx>
        <w:trPr>
          <w:cantSplit/>
          <w:trHeight w:val="560"/>
        </w:trPr>
        <w:tc>
          <w:tcPr>
            <w:tcW w:w="700" w:type="dxa"/>
            <w:tcMar>
              <w:top w:w="0" w:type="dxa"/>
              <w:bottom w:w="0" w:type="dxa"/>
            </w:tcMar>
            <w:vAlign w:val="center"/>
          </w:tcPr>
          <w:p w14:paraId="1ABAA017" w14:textId="77777777" w:rsidR="00680D31" w:rsidRDefault="00680D31">
            <w:pPr>
              <w:keepNext/>
              <w:keepLines/>
              <w:spacing w:after="0" w:line="240" w:lineRule="auto"/>
            </w:pPr>
          </w:p>
        </w:tc>
        <w:tc>
          <w:tcPr>
            <w:tcW w:w="3180" w:type="dxa"/>
            <w:tcMar>
              <w:top w:w="0" w:type="dxa"/>
              <w:bottom w:w="0" w:type="dxa"/>
            </w:tcMar>
            <w:vAlign w:val="center"/>
          </w:tcPr>
          <w:p w14:paraId="049C56C5" w14:textId="77777777" w:rsidR="00680D31"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CB970D2" w14:textId="77777777" w:rsidR="00680D31" w:rsidRDefault="00000000">
            <w:pPr>
              <w:keepNext/>
              <w:keepLines/>
              <w:spacing w:after="0" w:line="240" w:lineRule="auto"/>
            </w:pPr>
            <w:r>
              <w:rPr>
                <w:b/>
                <w:sz w:val="18"/>
              </w:rPr>
              <w:t>Y005</w:t>
            </w:r>
          </w:p>
        </w:tc>
        <w:tc>
          <w:tcPr>
            <w:tcW w:w="1860" w:type="dxa"/>
            <w:tcMar>
              <w:top w:w="0" w:type="dxa"/>
              <w:bottom w:w="0" w:type="dxa"/>
            </w:tcMar>
            <w:vAlign w:val="center"/>
          </w:tcPr>
          <w:p w14:paraId="712A1D66" w14:textId="77777777" w:rsidR="00680D31" w:rsidRDefault="00000000">
            <w:pPr>
              <w:keepNext/>
              <w:keepLines/>
              <w:spacing w:after="0" w:line="240" w:lineRule="auto"/>
              <w:jc w:val="right"/>
            </w:pPr>
            <w:r>
              <w:rPr>
                <w:b/>
                <w:sz w:val="18"/>
              </w:rPr>
              <w:t>4.889,42</w:t>
            </w:r>
          </w:p>
        </w:tc>
        <w:tc>
          <w:tcPr>
            <w:tcW w:w="1860" w:type="dxa"/>
            <w:tcMar>
              <w:top w:w="0" w:type="dxa"/>
              <w:bottom w:w="0" w:type="dxa"/>
            </w:tcMar>
            <w:vAlign w:val="center"/>
          </w:tcPr>
          <w:p w14:paraId="77B6CEA8" w14:textId="77777777" w:rsidR="00680D31" w:rsidRDefault="00000000">
            <w:pPr>
              <w:keepNext/>
              <w:keepLines/>
              <w:spacing w:after="0" w:line="240" w:lineRule="auto"/>
              <w:jc w:val="right"/>
            </w:pPr>
            <w:r>
              <w:rPr>
                <w:b/>
                <w:sz w:val="18"/>
              </w:rPr>
              <w:t>83.297,54</w:t>
            </w:r>
          </w:p>
        </w:tc>
        <w:tc>
          <w:tcPr>
            <w:tcW w:w="700" w:type="dxa"/>
            <w:tcMar>
              <w:top w:w="0" w:type="dxa"/>
              <w:bottom w:w="0" w:type="dxa"/>
            </w:tcMar>
            <w:vAlign w:val="center"/>
          </w:tcPr>
          <w:p w14:paraId="3B2305EE" w14:textId="77777777" w:rsidR="00680D31" w:rsidRDefault="00000000">
            <w:pPr>
              <w:keepNext/>
              <w:keepLines/>
              <w:spacing w:after="0" w:line="240" w:lineRule="auto"/>
              <w:jc w:val="right"/>
            </w:pPr>
            <w:r>
              <w:rPr>
                <w:b/>
                <w:sz w:val="18"/>
              </w:rPr>
              <w:t>1703,6</w:t>
            </w:r>
          </w:p>
        </w:tc>
      </w:tr>
    </w:tbl>
    <w:p w14:paraId="356326EB" w14:textId="77777777" w:rsidR="00680D31" w:rsidRDefault="00680D31">
      <w:pPr>
        <w:spacing w:after="0"/>
      </w:pPr>
    </w:p>
    <w:p w14:paraId="37D8DCF7" w14:textId="77777777" w:rsidR="00680D31" w:rsidRDefault="00000000">
      <w:r>
        <w:t>Budući da su ukupni prihodi manji od ukupnih rashoda, ostvaren je manjak tekućeg razdoblja kojem se pribraja preneseni manjak te je u konačnici ostvaren manjak za prijenos u iznosu -99.484,08 eura.</w:t>
      </w:r>
    </w:p>
    <w:p w14:paraId="15A1B02C" w14:textId="77777777" w:rsidR="00680D31" w:rsidRDefault="00000000">
      <w:r>
        <w:t>Manjak od poslovne aktivnosti= -11.027,20 (1.1.- 17.607,51; 3.4. +6.580,31)</w:t>
      </w:r>
    </w:p>
    <w:p w14:paraId="76F0438D" w14:textId="77777777" w:rsidR="00680D31" w:rsidRDefault="00000000">
      <w:r>
        <w:t>Manjak od nefinancijske imovine= -88.456,88 (3.2. -81.876,57; 4.2. -6.580,31)</w:t>
      </w:r>
    </w:p>
    <w:p w14:paraId="7A5C6192" w14:textId="77777777" w:rsidR="00680D31" w:rsidRDefault="00000000">
      <w:r>
        <w:lastRenderedPageBreak/>
        <w:t> </w:t>
      </w:r>
    </w:p>
    <w:p w14:paraId="451806DD" w14:textId="77777777" w:rsidR="00680D31" w:rsidRDefault="00000000">
      <w:r>
        <w:t>Napomena o strukturi rezultata po izvorima </w:t>
      </w:r>
    </w:p>
    <w:p w14:paraId="45CC2A9F" w14:textId="77777777" w:rsidR="00680D31" w:rsidRDefault="00000000">
      <w:pPr>
        <w:pStyle w:val="Odlomakpopisa"/>
        <w:numPr>
          <w:ilvl w:val="0"/>
          <w:numId w:val="1"/>
        </w:numPr>
      </w:pPr>
      <w:r>
        <w:t>Izvor 1.1.- Grad Kutina- opći prihodi i primici</w:t>
      </w:r>
    </w:p>
    <w:p w14:paraId="448BE38A" w14:textId="77777777" w:rsidR="00680D31" w:rsidRDefault="00000000">
      <w:r>
        <w:t>U tekućoj godini nastao je višak u iznosu 965,13 eura, a iz 2024. god. prenosi se manjak u iznosu -18.572,64 eura iz čega proizlazi sveukupni manjak u iznosu  -17.607,51 eura (manjak od poslovne aktivnosti ). Radi se o formalnom manjku koji odgovara iznosu neplaćenih računa iz navedenog izvora. </w:t>
      </w:r>
    </w:p>
    <w:p w14:paraId="45A4ED70" w14:textId="77777777" w:rsidR="00680D31" w:rsidRDefault="00000000">
      <w:pPr>
        <w:pStyle w:val="Odlomakpopisa"/>
        <w:numPr>
          <w:ilvl w:val="0"/>
          <w:numId w:val="2"/>
        </w:numPr>
      </w:pPr>
      <w:r>
        <w:t>Izvor 6.1.- Grad Kutina- prihodi od prodaje nefinancijske imovine i nadoknade štete s osnove osiguranja</w:t>
      </w:r>
    </w:p>
    <w:p w14:paraId="6335C664" w14:textId="77777777" w:rsidR="00680D31" w:rsidRDefault="00000000">
      <w:r>
        <w:t>U tekućoj godini podmireni su svi računi financirani iz navedenog izvora.</w:t>
      </w:r>
    </w:p>
    <w:p w14:paraId="2108C8F7" w14:textId="77777777" w:rsidR="00680D31" w:rsidRDefault="00000000">
      <w:r>
        <w:t> </w:t>
      </w:r>
    </w:p>
    <w:p w14:paraId="69126F04" w14:textId="77777777" w:rsidR="00680D31" w:rsidRDefault="00000000">
      <w:pPr>
        <w:pStyle w:val="Odlomakpopisa"/>
        <w:numPr>
          <w:ilvl w:val="0"/>
          <w:numId w:val="3"/>
        </w:numPr>
      </w:pPr>
      <w:r>
        <w:t>Izvor 3.2.- Grad Kutina- kapitalni prihodi</w:t>
      </w:r>
    </w:p>
    <w:p w14:paraId="0339CAA4" w14:textId="77777777" w:rsidR="00680D31" w:rsidRDefault="00000000">
      <w:r>
        <w:t>U tekućoj godini ostvaren je manjak u iznosu -81.876,57 eura (manjak od nefinancijske imovine). Radi se o formalnom manjku koji odgovara iznosu neplaćenih računa iz navedenog izvora.</w:t>
      </w:r>
    </w:p>
    <w:p w14:paraId="5B1FB56A" w14:textId="77777777" w:rsidR="00680D31" w:rsidRDefault="00000000">
      <w:r>
        <w:t> </w:t>
      </w:r>
    </w:p>
    <w:p w14:paraId="6A7F9A6B" w14:textId="77777777" w:rsidR="00680D31" w:rsidRDefault="00000000">
      <w:pPr>
        <w:pStyle w:val="Odlomakpopisa"/>
        <w:numPr>
          <w:ilvl w:val="0"/>
          <w:numId w:val="4"/>
        </w:numPr>
      </w:pPr>
      <w:r>
        <w:t>Izvor 4.2.- pomoći za proračunske korisnike</w:t>
      </w:r>
    </w:p>
    <w:p w14:paraId="3C53F5D4" w14:textId="77777777" w:rsidR="00680D31" w:rsidRDefault="00000000">
      <w:r>
        <w:t>Po projektu „Erasmus +“  u tekućoj godini ostvaren je manjak koji se pokriva prenesenim viškom iz prethodne godine.</w:t>
      </w:r>
    </w:p>
    <w:p w14:paraId="7C0AA2A0" w14:textId="77777777" w:rsidR="00680D31" w:rsidRDefault="00000000">
      <w:r>
        <w:t>U tekućoj godini sve primljene pomoći za kapitalne projekte (rekonstrukcija zgrade nove Knjižnice i čitaonice) su potrošene.</w:t>
      </w:r>
    </w:p>
    <w:p w14:paraId="3F0DC172" w14:textId="77777777" w:rsidR="00680D31" w:rsidRDefault="00000000">
      <w:r>
        <w:t> </w:t>
      </w:r>
    </w:p>
    <w:p w14:paraId="0DC30CDB" w14:textId="77777777" w:rsidR="00680D31" w:rsidRDefault="00000000">
      <w:pPr>
        <w:pStyle w:val="Odlomakpopisa"/>
        <w:numPr>
          <w:ilvl w:val="0"/>
          <w:numId w:val="5"/>
        </w:numPr>
      </w:pPr>
      <w:r>
        <w:t>Izvor 3.4.- prihodi proračunskih korisnika</w:t>
      </w:r>
    </w:p>
    <w:p w14:paraId="0ED0EA41" w14:textId="77777777" w:rsidR="00680D31" w:rsidRDefault="00000000">
      <w:r>
        <w:t>U tekućoj godini realiziran je manjak prihoda u iznosu -2.180,10 eura. Iz prethodne godine prenesen je višak u iznosu 2.180,10  eura koji pokriva navedeni manjak. Rezultat po ovom izvoru iznosi 0,00 eura a sastoji se od viška poslovne aktivnosti u iznosu 6.580,31 eura i manjka od nefinancijske imovine u iznosu –6.580,31 eura. Navedeni višak /manjak će se prebiti u 2026. god. na temelju Odluke o raspodjeli rezultata 2025. god.</w:t>
      </w:r>
    </w:p>
    <w:p w14:paraId="7FB77808" w14:textId="77777777" w:rsidR="00680D31" w:rsidRDefault="00000000">
      <w:pPr>
        <w:pStyle w:val="Odlomakpopisa"/>
        <w:numPr>
          <w:ilvl w:val="0"/>
          <w:numId w:val="6"/>
        </w:numPr>
      </w:pPr>
      <w:r>
        <w:t>Izvor 5.2.- donacije za proračunske korisnike</w:t>
      </w:r>
    </w:p>
    <w:p w14:paraId="3C84C27E" w14:textId="77777777" w:rsidR="00680D31" w:rsidRDefault="00000000">
      <w:r>
        <w:t>U tekućem razdoblju primljena je kapitalna donacija od fizičkih osoba te prihodi odgovaraju rashodima.</w:t>
      </w:r>
    </w:p>
    <w:p w14:paraId="4C2631B7" w14:textId="77777777" w:rsidR="00680D31" w:rsidRDefault="00000000">
      <w:r>
        <w:br/>
      </w:r>
    </w:p>
    <w:p w14:paraId="704E206E" w14:textId="77777777" w:rsidR="00680D31"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63D554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F0BD5"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B5A533"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8F5F90"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51C479"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EB4BF4"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CD8E35" w14:textId="77777777" w:rsidR="00680D31" w:rsidRDefault="00000000">
            <w:pPr>
              <w:keepNext/>
              <w:keepLines/>
              <w:spacing w:after="0" w:line="240" w:lineRule="auto"/>
              <w:jc w:val="center"/>
            </w:pPr>
            <w:r>
              <w:rPr>
                <w:b/>
                <w:sz w:val="18"/>
              </w:rPr>
              <w:t>Indeks (%)</w:t>
            </w:r>
          </w:p>
        </w:tc>
      </w:tr>
      <w:tr w:rsidR="00680D31" w14:paraId="169B3828" w14:textId="77777777">
        <w:tblPrEx>
          <w:tblCellMar>
            <w:top w:w="0" w:type="dxa"/>
            <w:bottom w:w="0" w:type="dxa"/>
          </w:tblCellMar>
        </w:tblPrEx>
        <w:trPr>
          <w:cantSplit/>
          <w:trHeight w:val="560"/>
        </w:trPr>
        <w:tc>
          <w:tcPr>
            <w:tcW w:w="700" w:type="dxa"/>
            <w:tcMar>
              <w:top w:w="0" w:type="dxa"/>
              <w:bottom w:w="0" w:type="dxa"/>
            </w:tcMar>
            <w:vAlign w:val="center"/>
          </w:tcPr>
          <w:p w14:paraId="0A14DD40" w14:textId="77777777" w:rsidR="00680D31" w:rsidRDefault="00000000">
            <w:pPr>
              <w:keepNext/>
              <w:keepLines/>
              <w:spacing w:after="0" w:line="240" w:lineRule="auto"/>
            </w:pPr>
            <w:r>
              <w:rPr>
                <w:sz w:val="18"/>
              </w:rPr>
              <w:t>6361</w:t>
            </w:r>
          </w:p>
        </w:tc>
        <w:tc>
          <w:tcPr>
            <w:tcW w:w="3180" w:type="dxa"/>
            <w:tcMar>
              <w:top w:w="0" w:type="dxa"/>
              <w:bottom w:w="0" w:type="dxa"/>
            </w:tcMar>
            <w:vAlign w:val="center"/>
          </w:tcPr>
          <w:p w14:paraId="5D789932" w14:textId="77777777" w:rsidR="00680D31"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699EECC" w14:textId="77777777" w:rsidR="00680D31" w:rsidRDefault="00000000">
            <w:pPr>
              <w:keepNext/>
              <w:keepLines/>
              <w:spacing w:after="0" w:line="240" w:lineRule="auto"/>
            </w:pPr>
            <w:r>
              <w:rPr>
                <w:sz w:val="18"/>
              </w:rPr>
              <w:t>6361</w:t>
            </w:r>
          </w:p>
        </w:tc>
        <w:tc>
          <w:tcPr>
            <w:tcW w:w="1860" w:type="dxa"/>
            <w:tcMar>
              <w:top w:w="0" w:type="dxa"/>
              <w:bottom w:w="0" w:type="dxa"/>
            </w:tcMar>
            <w:vAlign w:val="center"/>
          </w:tcPr>
          <w:p w14:paraId="0A6B0DEF" w14:textId="77777777" w:rsidR="00680D31" w:rsidRDefault="00000000">
            <w:pPr>
              <w:keepNext/>
              <w:keepLines/>
              <w:spacing w:after="0" w:line="240" w:lineRule="auto"/>
              <w:jc w:val="right"/>
            </w:pPr>
            <w:r>
              <w:rPr>
                <w:sz w:val="18"/>
              </w:rPr>
              <w:t>600,00</w:t>
            </w:r>
          </w:p>
        </w:tc>
        <w:tc>
          <w:tcPr>
            <w:tcW w:w="1860" w:type="dxa"/>
            <w:tcMar>
              <w:top w:w="0" w:type="dxa"/>
              <w:bottom w:w="0" w:type="dxa"/>
            </w:tcMar>
            <w:vAlign w:val="center"/>
          </w:tcPr>
          <w:p w14:paraId="48024D2F" w14:textId="77777777" w:rsidR="00680D31" w:rsidRDefault="00000000">
            <w:pPr>
              <w:keepNext/>
              <w:keepLines/>
              <w:spacing w:after="0" w:line="240" w:lineRule="auto"/>
              <w:jc w:val="right"/>
            </w:pPr>
            <w:r>
              <w:rPr>
                <w:sz w:val="18"/>
              </w:rPr>
              <w:t>0,00</w:t>
            </w:r>
          </w:p>
        </w:tc>
        <w:tc>
          <w:tcPr>
            <w:tcW w:w="700" w:type="dxa"/>
            <w:tcMar>
              <w:top w:w="0" w:type="dxa"/>
              <w:bottom w:w="0" w:type="dxa"/>
            </w:tcMar>
            <w:vAlign w:val="center"/>
          </w:tcPr>
          <w:p w14:paraId="1B57E93B" w14:textId="77777777" w:rsidR="00680D31" w:rsidRDefault="00000000">
            <w:pPr>
              <w:keepNext/>
              <w:keepLines/>
              <w:spacing w:after="0" w:line="240" w:lineRule="auto"/>
              <w:jc w:val="right"/>
            </w:pPr>
            <w:r>
              <w:rPr>
                <w:sz w:val="18"/>
              </w:rPr>
              <w:t>0</w:t>
            </w:r>
          </w:p>
        </w:tc>
      </w:tr>
    </w:tbl>
    <w:p w14:paraId="5BC60117" w14:textId="77777777" w:rsidR="00680D31" w:rsidRDefault="00680D31">
      <w:pPr>
        <w:spacing w:after="0"/>
      </w:pPr>
    </w:p>
    <w:p w14:paraId="5624AFCA" w14:textId="77777777" w:rsidR="00680D31" w:rsidRDefault="00000000">
      <w:r>
        <w:t>U 2024. god. primljena su sredstva za „140. obljetnicu osnutka Knjižnice i čitaonice Kutina“ i „Upoznaj knjižnicu s vilom Tihilendom“. U tekućoj godini navedenih pomoći nije bilo.</w:t>
      </w:r>
    </w:p>
    <w:p w14:paraId="5878A974" w14:textId="77777777" w:rsidR="00680D31" w:rsidRDefault="00680D31"/>
    <w:p w14:paraId="2809B583" w14:textId="77777777" w:rsidR="00680D31"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94D4C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52B6C"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DF96FD"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05010"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FC3BDE"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91AD7C"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B92F03" w14:textId="77777777" w:rsidR="00680D31" w:rsidRDefault="00000000">
            <w:pPr>
              <w:keepNext/>
              <w:keepLines/>
              <w:spacing w:after="0" w:line="240" w:lineRule="auto"/>
              <w:jc w:val="center"/>
            </w:pPr>
            <w:r>
              <w:rPr>
                <w:b/>
                <w:sz w:val="18"/>
              </w:rPr>
              <w:t>Indeks (%)</w:t>
            </w:r>
          </w:p>
        </w:tc>
      </w:tr>
      <w:tr w:rsidR="00680D31" w14:paraId="02F5CD84" w14:textId="77777777">
        <w:tblPrEx>
          <w:tblCellMar>
            <w:top w:w="0" w:type="dxa"/>
            <w:bottom w:w="0" w:type="dxa"/>
          </w:tblCellMar>
        </w:tblPrEx>
        <w:trPr>
          <w:cantSplit/>
          <w:trHeight w:val="560"/>
        </w:trPr>
        <w:tc>
          <w:tcPr>
            <w:tcW w:w="700" w:type="dxa"/>
            <w:tcMar>
              <w:top w:w="0" w:type="dxa"/>
              <w:bottom w:w="0" w:type="dxa"/>
            </w:tcMar>
            <w:vAlign w:val="center"/>
          </w:tcPr>
          <w:p w14:paraId="156C4168" w14:textId="77777777" w:rsidR="00680D31" w:rsidRDefault="00000000">
            <w:pPr>
              <w:keepNext/>
              <w:keepLines/>
              <w:spacing w:after="0" w:line="240" w:lineRule="auto"/>
            </w:pPr>
            <w:r>
              <w:rPr>
                <w:sz w:val="18"/>
              </w:rPr>
              <w:t>6362</w:t>
            </w:r>
          </w:p>
        </w:tc>
        <w:tc>
          <w:tcPr>
            <w:tcW w:w="3180" w:type="dxa"/>
            <w:tcMar>
              <w:top w:w="0" w:type="dxa"/>
              <w:bottom w:w="0" w:type="dxa"/>
            </w:tcMar>
            <w:vAlign w:val="center"/>
          </w:tcPr>
          <w:p w14:paraId="7515F7B6" w14:textId="77777777" w:rsidR="00680D31"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66CD0583" w14:textId="77777777" w:rsidR="00680D31" w:rsidRDefault="00000000">
            <w:pPr>
              <w:keepNext/>
              <w:keepLines/>
              <w:spacing w:after="0" w:line="240" w:lineRule="auto"/>
            </w:pPr>
            <w:r>
              <w:rPr>
                <w:sz w:val="18"/>
              </w:rPr>
              <w:t>6362</w:t>
            </w:r>
          </w:p>
        </w:tc>
        <w:tc>
          <w:tcPr>
            <w:tcW w:w="1860" w:type="dxa"/>
            <w:tcMar>
              <w:top w:w="0" w:type="dxa"/>
              <w:bottom w:w="0" w:type="dxa"/>
            </w:tcMar>
            <w:vAlign w:val="center"/>
          </w:tcPr>
          <w:p w14:paraId="6259714B" w14:textId="77777777" w:rsidR="00680D31" w:rsidRDefault="00000000">
            <w:pPr>
              <w:keepNext/>
              <w:keepLines/>
              <w:spacing w:after="0" w:line="240" w:lineRule="auto"/>
              <w:jc w:val="right"/>
            </w:pPr>
            <w:r>
              <w:rPr>
                <w:sz w:val="18"/>
              </w:rPr>
              <w:t>273.600,00</w:t>
            </w:r>
          </w:p>
        </w:tc>
        <w:tc>
          <w:tcPr>
            <w:tcW w:w="1860" w:type="dxa"/>
            <w:tcMar>
              <w:top w:w="0" w:type="dxa"/>
              <w:bottom w:w="0" w:type="dxa"/>
            </w:tcMar>
            <w:vAlign w:val="center"/>
          </w:tcPr>
          <w:p w14:paraId="1C5C2A02" w14:textId="77777777" w:rsidR="00680D31" w:rsidRDefault="00000000">
            <w:pPr>
              <w:keepNext/>
              <w:keepLines/>
              <w:spacing w:after="0" w:line="240" w:lineRule="auto"/>
              <w:jc w:val="right"/>
            </w:pPr>
            <w:r>
              <w:rPr>
                <w:sz w:val="18"/>
              </w:rPr>
              <w:t>125.000,00</w:t>
            </w:r>
          </w:p>
        </w:tc>
        <w:tc>
          <w:tcPr>
            <w:tcW w:w="700" w:type="dxa"/>
            <w:tcMar>
              <w:top w:w="0" w:type="dxa"/>
              <w:bottom w:w="0" w:type="dxa"/>
            </w:tcMar>
            <w:vAlign w:val="center"/>
          </w:tcPr>
          <w:p w14:paraId="16C44773" w14:textId="77777777" w:rsidR="00680D31" w:rsidRDefault="00000000">
            <w:pPr>
              <w:keepNext/>
              <w:keepLines/>
              <w:spacing w:after="0" w:line="240" w:lineRule="auto"/>
              <w:jc w:val="right"/>
            </w:pPr>
            <w:r>
              <w:rPr>
                <w:sz w:val="18"/>
              </w:rPr>
              <w:t>45,7</w:t>
            </w:r>
          </w:p>
        </w:tc>
      </w:tr>
    </w:tbl>
    <w:p w14:paraId="2AD9E00D" w14:textId="77777777" w:rsidR="00680D31" w:rsidRDefault="00680D31">
      <w:pPr>
        <w:spacing w:after="0"/>
      </w:pPr>
    </w:p>
    <w:p w14:paraId="037514D1" w14:textId="77777777" w:rsidR="00680D31" w:rsidRDefault="00000000">
      <w:r>
        <w:t>Iz državnog proračuna primljena su sredstva za nabavu knjižne građe  te adaptaciju zgrade Doma umirovljenika za Knjižnicu . U tekućoj godini primljeno je manje sredstava za adaptaciju zgrade, ovisno o potpisanim ugovorima s Ministarstvom kulture.</w:t>
      </w:r>
    </w:p>
    <w:p w14:paraId="3DAC41FC" w14:textId="77777777" w:rsidR="00680D31" w:rsidRDefault="00680D31"/>
    <w:p w14:paraId="146C32E5" w14:textId="77777777" w:rsidR="00680D31"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735F8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E94692"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451E8A"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B16342"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39ADA0"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C69403"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291C78" w14:textId="77777777" w:rsidR="00680D31" w:rsidRDefault="00000000">
            <w:pPr>
              <w:keepNext/>
              <w:keepLines/>
              <w:spacing w:after="0" w:line="240" w:lineRule="auto"/>
              <w:jc w:val="center"/>
            </w:pPr>
            <w:r>
              <w:rPr>
                <w:b/>
                <w:sz w:val="18"/>
              </w:rPr>
              <w:t>Indeks (%)</w:t>
            </w:r>
          </w:p>
        </w:tc>
      </w:tr>
      <w:tr w:rsidR="00680D31" w14:paraId="29CA56D8" w14:textId="77777777">
        <w:tblPrEx>
          <w:tblCellMar>
            <w:top w:w="0" w:type="dxa"/>
            <w:bottom w:w="0" w:type="dxa"/>
          </w:tblCellMar>
        </w:tblPrEx>
        <w:trPr>
          <w:cantSplit/>
          <w:trHeight w:val="560"/>
        </w:trPr>
        <w:tc>
          <w:tcPr>
            <w:tcW w:w="700" w:type="dxa"/>
            <w:tcMar>
              <w:top w:w="0" w:type="dxa"/>
              <w:bottom w:w="0" w:type="dxa"/>
            </w:tcMar>
            <w:vAlign w:val="center"/>
          </w:tcPr>
          <w:p w14:paraId="5C8040E7" w14:textId="77777777" w:rsidR="00680D31" w:rsidRDefault="00000000">
            <w:pPr>
              <w:keepNext/>
              <w:keepLines/>
              <w:spacing w:after="0" w:line="240" w:lineRule="auto"/>
            </w:pPr>
            <w:r>
              <w:rPr>
                <w:sz w:val="18"/>
              </w:rPr>
              <w:t>6711</w:t>
            </w:r>
          </w:p>
        </w:tc>
        <w:tc>
          <w:tcPr>
            <w:tcW w:w="3180" w:type="dxa"/>
            <w:tcMar>
              <w:top w:w="0" w:type="dxa"/>
              <w:bottom w:w="0" w:type="dxa"/>
            </w:tcMar>
            <w:vAlign w:val="center"/>
          </w:tcPr>
          <w:p w14:paraId="3F46BF7A" w14:textId="77777777" w:rsidR="00680D31"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82C71D5" w14:textId="77777777" w:rsidR="00680D31" w:rsidRDefault="00000000">
            <w:pPr>
              <w:keepNext/>
              <w:keepLines/>
              <w:spacing w:after="0" w:line="240" w:lineRule="auto"/>
            </w:pPr>
            <w:r>
              <w:rPr>
                <w:sz w:val="18"/>
              </w:rPr>
              <w:t>6711</w:t>
            </w:r>
          </w:p>
        </w:tc>
        <w:tc>
          <w:tcPr>
            <w:tcW w:w="1860" w:type="dxa"/>
            <w:tcMar>
              <w:top w:w="0" w:type="dxa"/>
              <w:bottom w:w="0" w:type="dxa"/>
            </w:tcMar>
            <w:vAlign w:val="center"/>
          </w:tcPr>
          <w:p w14:paraId="7C17A8EE" w14:textId="77777777" w:rsidR="00680D31" w:rsidRDefault="00000000">
            <w:pPr>
              <w:keepNext/>
              <w:keepLines/>
              <w:spacing w:after="0" w:line="240" w:lineRule="auto"/>
              <w:jc w:val="right"/>
            </w:pPr>
            <w:r>
              <w:rPr>
                <w:sz w:val="18"/>
              </w:rPr>
              <w:t>183.346,56</w:t>
            </w:r>
          </w:p>
        </w:tc>
        <w:tc>
          <w:tcPr>
            <w:tcW w:w="1860" w:type="dxa"/>
            <w:tcMar>
              <w:top w:w="0" w:type="dxa"/>
              <w:bottom w:w="0" w:type="dxa"/>
            </w:tcMar>
            <w:vAlign w:val="center"/>
          </w:tcPr>
          <w:p w14:paraId="32B8A746" w14:textId="77777777" w:rsidR="00680D31" w:rsidRDefault="00000000">
            <w:pPr>
              <w:keepNext/>
              <w:keepLines/>
              <w:spacing w:after="0" w:line="240" w:lineRule="auto"/>
              <w:jc w:val="right"/>
            </w:pPr>
            <w:r>
              <w:rPr>
                <w:sz w:val="18"/>
              </w:rPr>
              <w:t>227.651,89</w:t>
            </w:r>
          </w:p>
        </w:tc>
        <w:tc>
          <w:tcPr>
            <w:tcW w:w="700" w:type="dxa"/>
            <w:tcMar>
              <w:top w:w="0" w:type="dxa"/>
              <w:bottom w:w="0" w:type="dxa"/>
            </w:tcMar>
            <w:vAlign w:val="center"/>
          </w:tcPr>
          <w:p w14:paraId="70F60929" w14:textId="77777777" w:rsidR="00680D31" w:rsidRDefault="00000000">
            <w:pPr>
              <w:keepNext/>
              <w:keepLines/>
              <w:spacing w:after="0" w:line="240" w:lineRule="auto"/>
              <w:jc w:val="right"/>
            </w:pPr>
            <w:r>
              <w:rPr>
                <w:sz w:val="18"/>
              </w:rPr>
              <w:t>124,2</w:t>
            </w:r>
          </w:p>
        </w:tc>
      </w:tr>
    </w:tbl>
    <w:p w14:paraId="52725424" w14:textId="77777777" w:rsidR="00680D31" w:rsidRDefault="00680D31">
      <w:pPr>
        <w:spacing w:after="0"/>
      </w:pPr>
    </w:p>
    <w:p w14:paraId="0712C159" w14:textId="77777777" w:rsidR="00680D31" w:rsidRDefault="00000000">
      <w:r>
        <w:t>Razlika u prihodima nastaje zbog razlike u dinamici plaćanja između 2 godine kao i u  samim rashodima financiranim iz gradskih izvora.</w:t>
      </w:r>
    </w:p>
    <w:p w14:paraId="759025C1" w14:textId="77777777" w:rsidR="00680D31" w:rsidRDefault="00680D31"/>
    <w:p w14:paraId="360566AF" w14:textId="77777777" w:rsidR="00680D31"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85443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410DF0"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C052CE"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357F87"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6A3DF4"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D7804D"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61C876" w14:textId="77777777" w:rsidR="00680D31" w:rsidRDefault="00000000">
            <w:pPr>
              <w:keepNext/>
              <w:keepLines/>
              <w:spacing w:after="0" w:line="240" w:lineRule="auto"/>
              <w:jc w:val="center"/>
            </w:pPr>
            <w:r>
              <w:rPr>
                <w:b/>
                <w:sz w:val="18"/>
              </w:rPr>
              <w:t>Indeks (%)</w:t>
            </w:r>
          </w:p>
        </w:tc>
      </w:tr>
      <w:tr w:rsidR="00680D31" w14:paraId="705079F6" w14:textId="77777777">
        <w:tblPrEx>
          <w:tblCellMar>
            <w:top w:w="0" w:type="dxa"/>
            <w:bottom w:w="0" w:type="dxa"/>
          </w:tblCellMar>
        </w:tblPrEx>
        <w:trPr>
          <w:cantSplit/>
          <w:trHeight w:val="560"/>
        </w:trPr>
        <w:tc>
          <w:tcPr>
            <w:tcW w:w="700" w:type="dxa"/>
            <w:tcMar>
              <w:top w:w="0" w:type="dxa"/>
              <w:bottom w:w="0" w:type="dxa"/>
            </w:tcMar>
            <w:vAlign w:val="center"/>
          </w:tcPr>
          <w:p w14:paraId="13AC012C" w14:textId="77777777" w:rsidR="00680D31" w:rsidRDefault="00000000">
            <w:pPr>
              <w:keepNext/>
              <w:keepLines/>
              <w:spacing w:after="0" w:line="240" w:lineRule="auto"/>
            </w:pPr>
            <w:r>
              <w:rPr>
                <w:sz w:val="18"/>
              </w:rPr>
              <w:t>6712</w:t>
            </w:r>
          </w:p>
        </w:tc>
        <w:tc>
          <w:tcPr>
            <w:tcW w:w="3180" w:type="dxa"/>
            <w:tcMar>
              <w:top w:w="0" w:type="dxa"/>
              <w:bottom w:w="0" w:type="dxa"/>
            </w:tcMar>
            <w:vAlign w:val="center"/>
          </w:tcPr>
          <w:p w14:paraId="48B5B486" w14:textId="77777777" w:rsidR="00680D31"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DDB53B7" w14:textId="77777777" w:rsidR="00680D31" w:rsidRDefault="00000000">
            <w:pPr>
              <w:keepNext/>
              <w:keepLines/>
              <w:spacing w:after="0" w:line="240" w:lineRule="auto"/>
            </w:pPr>
            <w:r>
              <w:rPr>
                <w:sz w:val="18"/>
              </w:rPr>
              <w:t>6712</w:t>
            </w:r>
          </w:p>
        </w:tc>
        <w:tc>
          <w:tcPr>
            <w:tcW w:w="1860" w:type="dxa"/>
            <w:tcMar>
              <w:top w:w="0" w:type="dxa"/>
              <w:bottom w:w="0" w:type="dxa"/>
            </w:tcMar>
            <w:vAlign w:val="center"/>
          </w:tcPr>
          <w:p w14:paraId="622787EB" w14:textId="77777777" w:rsidR="00680D31" w:rsidRDefault="00000000">
            <w:pPr>
              <w:keepNext/>
              <w:keepLines/>
              <w:spacing w:after="0" w:line="240" w:lineRule="auto"/>
              <w:jc w:val="right"/>
            </w:pPr>
            <w:r>
              <w:rPr>
                <w:sz w:val="18"/>
              </w:rPr>
              <w:t>228.913,38</w:t>
            </w:r>
          </w:p>
        </w:tc>
        <w:tc>
          <w:tcPr>
            <w:tcW w:w="1860" w:type="dxa"/>
            <w:tcMar>
              <w:top w:w="0" w:type="dxa"/>
              <w:bottom w:w="0" w:type="dxa"/>
            </w:tcMar>
            <w:vAlign w:val="center"/>
          </w:tcPr>
          <w:p w14:paraId="219626B4" w14:textId="77777777" w:rsidR="00680D31" w:rsidRDefault="00000000">
            <w:pPr>
              <w:keepNext/>
              <w:keepLines/>
              <w:spacing w:after="0" w:line="240" w:lineRule="auto"/>
              <w:jc w:val="right"/>
            </w:pPr>
            <w:r>
              <w:rPr>
                <w:sz w:val="18"/>
              </w:rPr>
              <w:t>17.201,35</w:t>
            </w:r>
          </w:p>
        </w:tc>
        <w:tc>
          <w:tcPr>
            <w:tcW w:w="700" w:type="dxa"/>
            <w:tcMar>
              <w:top w:w="0" w:type="dxa"/>
              <w:bottom w:w="0" w:type="dxa"/>
            </w:tcMar>
            <w:vAlign w:val="center"/>
          </w:tcPr>
          <w:p w14:paraId="18578330" w14:textId="77777777" w:rsidR="00680D31" w:rsidRDefault="00000000">
            <w:pPr>
              <w:keepNext/>
              <w:keepLines/>
              <w:spacing w:after="0" w:line="240" w:lineRule="auto"/>
              <w:jc w:val="right"/>
            </w:pPr>
            <w:r>
              <w:rPr>
                <w:sz w:val="18"/>
              </w:rPr>
              <w:t>7,5</w:t>
            </w:r>
          </w:p>
        </w:tc>
      </w:tr>
    </w:tbl>
    <w:p w14:paraId="5A63D50A" w14:textId="77777777" w:rsidR="00680D31" w:rsidRDefault="00680D31">
      <w:pPr>
        <w:spacing w:after="0"/>
      </w:pPr>
    </w:p>
    <w:p w14:paraId="42F0D871" w14:textId="77777777" w:rsidR="00680D31" w:rsidRDefault="00000000">
      <w:r>
        <w:t>U prethodnom razdoblju plaćen je veći iznos računa za rekonstrukciju zgrade iz gradskog proračuna.</w:t>
      </w:r>
    </w:p>
    <w:p w14:paraId="2CAC51E6" w14:textId="77777777" w:rsidR="00680D31" w:rsidRDefault="00680D31"/>
    <w:p w14:paraId="69CEBF24" w14:textId="77777777" w:rsidR="00680D31"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2C3B7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87B912"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D3BE14"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2FFD9A"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20CBD8"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390194"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FE31A8" w14:textId="77777777" w:rsidR="00680D31" w:rsidRDefault="00000000">
            <w:pPr>
              <w:keepNext/>
              <w:keepLines/>
              <w:spacing w:after="0" w:line="240" w:lineRule="auto"/>
              <w:jc w:val="center"/>
            </w:pPr>
            <w:r>
              <w:rPr>
                <w:b/>
                <w:sz w:val="18"/>
              </w:rPr>
              <w:t>Indeks (%)</w:t>
            </w:r>
          </w:p>
        </w:tc>
      </w:tr>
      <w:tr w:rsidR="00680D31" w14:paraId="6E5D7B66" w14:textId="77777777">
        <w:tblPrEx>
          <w:tblCellMar>
            <w:top w:w="0" w:type="dxa"/>
            <w:bottom w:w="0" w:type="dxa"/>
          </w:tblCellMar>
        </w:tblPrEx>
        <w:trPr>
          <w:cantSplit/>
          <w:trHeight w:val="560"/>
        </w:trPr>
        <w:tc>
          <w:tcPr>
            <w:tcW w:w="700" w:type="dxa"/>
            <w:tcMar>
              <w:top w:w="0" w:type="dxa"/>
              <w:bottom w:w="0" w:type="dxa"/>
            </w:tcMar>
            <w:vAlign w:val="center"/>
          </w:tcPr>
          <w:p w14:paraId="4973B3EC" w14:textId="77777777" w:rsidR="00680D31" w:rsidRDefault="00000000">
            <w:pPr>
              <w:keepNext/>
              <w:keepLines/>
              <w:spacing w:after="0" w:line="240" w:lineRule="auto"/>
            </w:pPr>
            <w:r>
              <w:rPr>
                <w:sz w:val="18"/>
              </w:rPr>
              <w:t>3111</w:t>
            </w:r>
          </w:p>
        </w:tc>
        <w:tc>
          <w:tcPr>
            <w:tcW w:w="3180" w:type="dxa"/>
            <w:tcMar>
              <w:top w:w="0" w:type="dxa"/>
              <w:bottom w:w="0" w:type="dxa"/>
            </w:tcMar>
            <w:vAlign w:val="center"/>
          </w:tcPr>
          <w:p w14:paraId="76CA40BE" w14:textId="77777777" w:rsidR="00680D31" w:rsidRDefault="00000000">
            <w:pPr>
              <w:keepNext/>
              <w:keepLines/>
              <w:spacing w:after="0" w:line="240" w:lineRule="auto"/>
            </w:pPr>
            <w:r>
              <w:rPr>
                <w:sz w:val="18"/>
              </w:rPr>
              <w:t>Plaće za redovan rad</w:t>
            </w:r>
          </w:p>
        </w:tc>
        <w:tc>
          <w:tcPr>
            <w:tcW w:w="700" w:type="dxa"/>
            <w:tcMar>
              <w:top w:w="0" w:type="dxa"/>
              <w:bottom w:w="0" w:type="dxa"/>
            </w:tcMar>
            <w:vAlign w:val="center"/>
          </w:tcPr>
          <w:p w14:paraId="4822BB53" w14:textId="77777777" w:rsidR="00680D31" w:rsidRDefault="00000000">
            <w:pPr>
              <w:keepNext/>
              <w:keepLines/>
              <w:spacing w:after="0" w:line="240" w:lineRule="auto"/>
            </w:pPr>
            <w:r>
              <w:rPr>
                <w:sz w:val="18"/>
              </w:rPr>
              <w:t>3111</w:t>
            </w:r>
          </w:p>
        </w:tc>
        <w:tc>
          <w:tcPr>
            <w:tcW w:w="1860" w:type="dxa"/>
            <w:tcMar>
              <w:top w:w="0" w:type="dxa"/>
              <w:bottom w:w="0" w:type="dxa"/>
            </w:tcMar>
            <w:vAlign w:val="center"/>
          </w:tcPr>
          <w:p w14:paraId="77793431" w14:textId="77777777" w:rsidR="00680D31" w:rsidRDefault="00000000">
            <w:pPr>
              <w:keepNext/>
              <w:keepLines/>
              <w:spacing w:after="0" w:line="240" w:lineRule="auto"/>
              <w:jc w:val="right"/>
            </w:pPr>
            <w:r>
              <w:rPr>
                <w:sz w:val="18"/>
              </w:rPr>
              <w:t>113.279,49</w:t>
            </w:r>
          </w:p>
        </w:tc>
        <w:tc>
          <w:tcPr>
            <w:tcW w:w="1860" w:type="dxa"/>
            <w:tcMar>
              <w:top w:w="0" w:type="dxa"/>
              <w:bottom w:w="0" w:type="dxa"/>
            </w:tcMar>
            <w:vAlign w:val="center"/>
          </w:tcPr>
          <w:p w14:paraId="7FD44238" w14:textId="77777777" w:rsidR="00680D31" w:rsidRDefault="00000000">
            <w:pPr>
              <w:keepNext/>
              <w:keepLines/>
              <w:spacing w:after="0" w:line="240" w:lineRule="auto"/>
              <w:jc w:val="right"/>
            </w:pPr>
            <w:r>
              <w:rPr>
                <w:sz w:val="18"/>
              </w:rPr>
              <w:t>146.218,26</w:t>
            </w:r>
          </w:p>
        </w:tc>
        <w:tc>
          <w:tcPr>
            <w:tcW w:w="700" w:type="dxa"/>
            <w:tcMar>
              <w:top w:w="0" w:type="dxa"/>
              <w:bottom w:w="0" w:type="dxa"/>
            </w:tcMar>
            <w:vAlign w:val="center"/>
          </w:tcPr>
          <w:p w14:paraId="0CFD5974" w14:textId="77777777" w:rsidR="00680D31" w:rsidRDefault="00000000">
            <w:pPr>
              <w:keepNext/>
              <w:keepLines/>
              <w:spacing w:after="0" w:line="240" w:lineRule="auto"/>
              <w:jc w:val="right"/>
            </w:pPr>
            <w:r>
              <w:rPr>
                <w:sz w:val="18"/>
              </w:rPr>
              <w:t>129,1</w:t>
            </w:r>
          </w:p>
        </w:tc>
      </w:tr>
    </w:tbl>
    <w:p w14:paraId="1353E41B" w14:textId="77777777" w:rsidR="00680D31" w:rsidRDefault="00680D31">
      <w:pPr>
        <w:spacing w:after="0"/>
      </w:pPr>
    </w:p>
    <w:p w14:paraId="14629097" w14:textId="77777777" w:rsidR="00680D31" w:rsidRDefault="00000000">
      <w:r>
        <w:t>Rastu rashodi za plaće zbog izmjena Kolektivnog ugovora.</w:t>
      </w:r>
    </w:p>
    <w:p w14:paraId="2451ADD9" w14:textId="77777777" w:rsidR="00680D31" w:rsidRDefault="00680D31"/>
    <w:p w14:paraId="6C873220" w14:textId="77777777" w:rsidR="00680D31"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AADD6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ADCBB"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12A302"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0482F5"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20B4D1"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C5782A"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9FAC9E" w14:textId="77777777" w:rsidR="00680D31" w:rsidRDefault="00000000">
            <w:pPr>
              <w:keepNext/>
              <w:keepLines/>
              <w:spacing w:after="0" w:line="240" w:lineRule="auto"/>
              <w:jc w:val="center"/>
            </w:pPr>
            <w:r>
              <w:rPr>
                <w:b/>
                <w:sz w:val="18"/>
              </w:rPr>
              <w:t>Indeks (%)</w:t>
            </w:r>
          </w:p>
        </w:tc>
      </w:tr>
      <w:tr w:rsidR="00680D31" w14:paraId="38E94DA0" w14:textId="77777777">
        <w:tblPrEx>
          <w:tblCellMar>
            <w:top w:w="0" w:type="dxa"/>
            <w:bottom w:w="0" w:type="dxa"/>
          </w:tblCellMar>
        </w:tblPrEx>
        <w:trPr>
          <w:cantSplit/>
          <w:trHeight w:val="560"/>
        </w:trPr>
        <w:tc>
          <w:tcPr>
            <w:tcW w:w="700" w:type="dxa"/>
            <w:tcMar>
              <w:top w:w="0" w:type="dxa"/>
              <w:bottom w:w="0" w:type="dxa"/>
            </w:tcMar>
            <w:vAlign w:val="center"/>
          </w:tcPr>
          <w:p w14:paraId="69FF7A8E" w14:textId="77777777" w:rsidR="00680D31" w:rsidRDefault="00000000">
            <w:pPr>
              <w:keepNext/>
              <w:keepLines/>
              <w:spacing w:after="0" w:line="240" w:lineRule="auto"/>
            </w:pPr>
            <w:r>
              <w:rPr>
                <w:sz w:val="18"/>
              </w:rPr>
              <w:t>3211</w:t>
            </w:r>
          </w:p>
        </w:tc>
        <w:tc>
          <w:tcPr>
            <w:tcW w:w="3180" w:type="dxa"/>
            <w:tcMar>
              <w:top w:w="0" w:type="dxa"/>
              <w:bottom w:w="0" w:type="dxa"/>
            </w:tcMar>
            <w:vAlign w:val="center"/>
          </w:tcPr>
          <w:p w14:paraId="090D887C" w14:textId="77777777" w:rsidR="00680D31" w:rsidRDefault="00000000">
            <w:pPr>
              <w:keepNext/>
              <w:keepLines/>
              <w:spacing w:after="0" w:line="240" w:lineRule="auto"/>
            </w:pPr>
            <w:r>
              <w:rPr>
                <w:sz w:val="18"/>
              </w:rPr>
              <w:t>Službena putovanja</w:t>
            </w:r>
          </w:p>
        </w:tc>
        <w:tc>
          <w:tcPr>
            <w:tcW w:w="700" w:type="dxa"/>
            <w:tcMar>
              <w:top w:w="0" w:type="dxa"/>
              <w:bottom w:w="0" w:type="dxa"/>
            </w:tcMar>
            <w:vAlign w:val="center"/>
          </w:tcPr>
          <w:p w14:paraId="6739A9ED" w14:textId="77777777" w:rsidR="00680D31" w:rsidRDefault="00000000">
            <w:pPr>
              <w:keepNext/>
              <w:keepLines/>
              <w:spacing w:after="0" w:line="240" w:lineRule="auto"/>
            </w:pPr>
            <w:r>
              <w:rPr>
                <w:sz w:val="18"/>
              </w:rPr>
              <w:t>3211</w:t>
            </w:r>
          </w:p>
        </w:tc>
        <w:tc>
          <w:tcPr>
            <w:tcW w:w="1860" w:type="dxa"/>
            <w:tcMar>
              <w:top w:w="0" w:type="dxa"/>
              <w:bottom w:w="0" w:type="dxa"/>
            </w:tcMar>
            <w:vAlign w:val="center"/>
          </w:tcPr>
          <w:p w14:paraId="2A38E1BC" w14:textId="77777777" w:rsidR="00680D31" w:rsidRDefault="00000000">
            <w:pPr>
              <w:keepNext/>
              <w:keepLines/>
              <w:spacing w:after="0" w:line="240" w:lineRule="auto"/>
              <w:jc w:val="right"/>
            </w:pPr>
            <w:r>
              <w:rPr>
                <w:sz w:val="18"/>
              </w:rPr>
              <w:t>3.650,30</w:t>
            </w:r>
          </w:p>
        </w:tc>
        <w:tc>
          <w:tcPr>
            <w:tcW w:w="1860" w:type="dxa"/>
            <w:tcMar>
              <w:top w:w="0" w:type="dxa"/>
              <w:bottom w:w="0" w:type="dxa"/>
            </w:tcMar>
            <w:vAlign w:val="center"/>
          </w:tcPr>
          <w:p w14:paraId="6338ADB4" w14:textId="77777777" w:rsidR="00680D31" w:rsidRDefault="00000000">
            <w:pPr>
              <w:keepNext/>
              <w:keepLines/>
              <w:spacing w:after="0" w:line="240" w:lineRule="auto"/>
              <w:jc w:val="right"/>
            </w:pPr>
            <w:r>
              <w:rPr>
                <w:sz w:val="18"/>
              </w:rPr>
              <w:t>1.890,78</w:t>
            </w:r>
          </w:p>
        </w:tc>
        <w:tc>
          <w:tcPr>
            <w:tcW w:w="700" w:type="dxa"/>
            <w:tcMar>
              <w:top w:w="0" w:type="dxa"/>
              <w:bottom w:w="0" w:type="dxa"/>
            </w:tcMar>
            <w:vAlign w:val="center"/>
          </w:tcPr>
          <w:p w14:paraId="106CCC61" w14:textId="77777777" w:rsidR="00680D31" w:rsidRDefault="00000000">
            <w:pPr>
              <w:keepNext/>
              <w:keepLines/>
              <w:spacing w:after="0" w:line="240" w:lineRule="auto"/>
              <w:jc w:val="right"/>
            </w:pPr>
            <w:r>
              <w:rPr>
                <w:sz w:val="18"/>
              </w:rPr>
              <w:t>51,8</w:t>
            </w:r>
          </w:p>
        </w:tc>
      </w:tr>
    </w:tbl>
    <w:p w14:paraId="6953C94A" w14:textId="77777777" w:rsidR="00680D31" w:rsidRDefault="00680D31">
      <w:pPr>
        <w:spacing w:after="0"/>
      </w:pPr>
    </w:p>
    <w:p w14:paraId="4E5E17BD" w14:textId="77777777" w:rsidR="00680D31" w:rsidRDefault="00000000">
      <w:r>
        <w:t>U 2024. god. veći su rashodi zbog više realiziranih službenih putovanja vezanih uz projekt Erasmus +.</w:t>
      </w:r>
    </w:p>
    <w:p w14:paraId="0AC1912B" w14:textId="77777777" w:rsidR="00680D31" w:rsidRDefault="00680D31"/>
    <w:p w14:paraId="3EEADA7D" w14:textId="77777777" w:rsidR="00680D31"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5E64C7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CCCC45"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C54B43"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E4F4CC"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01D70"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C617AB"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86EDFD" w14:textId="77777777" w:rsidR="00680D31" w:rsidRDefault="00000000">
            <w:pPr>
              <w:keepNext/>
              <w:keepLines/>
              <w:spacing w:after="0" w:line="240" w:lineRule="auto"/>
              <w:jc w:val="center"/>
            </w:pPr>
            <w:r>
              <w:rPr>
                <w:b/>
                <w:sz w:val="18"/>
              </w:rPr>
              <w:t>Indeks (%)</w:t>
            </w:r>
          </w:p>
        </w:tc>
      </w:tr>
      <w:tr w:rsidR="00680D31" w14:paraId="0A40139D" w14:textId="77777777">
        <w:tblPrEx>
          <w:tblCellMar>
            <w:top w:w="0" w:type="dxa"/>
            <w:bottom w:w="0" w:type="dxa"/>
          </w:tblCellMar>
        </w:tblPrEx>
        <w:trPr>
          <w:cantSplit/>
          <w:trHeight w:val="560"/>
        </w:trPr>
        <w:tc>
          <w:tcPr>
            <w:tcW w:w="700" w:type="dxa"/>
            <w:tcMar>
              <w:top w:w="0" w:type="dxa"/>
              <w:bottom w:w="0" w:type="dxa"/>
            </w:tcMar>
            <w:vAlign w:val="center"/>
          </w:tcPr>
          <w:p w14:paraId="5B538781" w14:textId="77777777" w:rsidR="00680D31" w:rsidRDefault="00000000">
            <w:pPr>
              <w:keepNext/>
              <w:keepLines/>
              <w:spacing w:after="0" w:line="240" w:lineRule="auto"/>
            </w:pPr>
            <w:r>
              <w:rPr>
                <w:sz w:val="18"/>
              </w:rPr>
              <w:t>3221</w:t>
            </w:r>
          </w:p>
        </w:tc>
        <w:tc>
          <w:tcPr>
            <w:tcW w:w="3180" w:type="dxa"/>
            <w:tcMar>
              <w:top w:w="0" w:type="dxa"/>
              <w:bottom w:w="0" w:type="dxa"/>
            </w:tcMar>
            <w:vAlign w:val="center"/>
          </w:tcPr>
          <w:p w14:paraId="2E823821" w14:textId="77777777" w:rsidR="00680D31"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54B022C7" w14:textId="77777777" w:rsidR="00680D31" w:rsidRDefault="00000000">
            <w:pPr>
              <w:keepNext/>
              <w:keepLines/>
              <w:spacing w:after="0" w:line="240" w:lineRule="auto"/>
            </w:pPr>
            <w:r>
              <w:rPr>
                <w:sz w:val="18"/>
              </w:rPr>
              <w:t>3221</w:t>
            </w:r>
          </w:p>
        </w:tc>
        <w:tc>
          <w:tcPr>
            <w:tcW w:w="1860" w:type="dxa"/>
            <w:tcMar>
              <w:top w:w="0" w:type="dxa"/>
              <w:bottom w:w="0" w:type="dxa"/>
            </w:tcMar>
            <w:vAlign w:val="center"/>
          </w:tcPr>
          <w:p w14:paraId="04330F81" w14:textId="77777777" w:rsidR="00680D31" w:rsidRDefault="00000000">
            <w:pPr>
              <w:keepNext/>
              <w:keepLines/>
              <w:spacing w:after="0" w:line="240" w:lineRule="auto"/>
              <w:jc w:val="right"/>
            </w:pPr>
            <w:r>
              <w:rPr>
                <w:sz w:val="18"/>
              </w:rPr>
              <w:t>3.550,38</w:t>
            </w:r>
          </w:p>
        </w:tc>
        <w:tc>
          <w:tcPr>
            <w:tcW w:w="1860" w:type="dxa"/>
            <w:tcMar>
              <w:top w:w="0" w:type="dxa"/>
              <w:bottom w:w="0" w:type="dxa"/>
            </w:tcMar>
            <w:vAlign w:val="center"/>
          </w:tcPr>
          <w:p w14:paraId="35E667DC" w14:textId="77777777" w:rsidR="00680D31" w:rsidRDefault="00000000">
            <w:pPr>
              <w:keepNext/>
              <w:keepLines/>
              <w:spacing w:after="0" w:line="240" w:lineRule="auto"/>
              <w:jc w:val="right"/>
            </w:pPr>
            <w:r>
              <w:rPr>
                <w:sz w:val="18"/>
              </w:rPr>
              <w:t>4.434,88</w:t>
            </w:r>
          </w:p>
        </w:tc>
        <w:tc>
          <w:tcPr>
            <w:tcW w:w="700" w:type="dxa"/>
            <w:tcMar>
              <w:top w:w="0" w:type="dxa"/>
              <w:bottom w:w="0" w:type="dxa"/>
            </w:tcMar>
            <w:vAlign w:val="center"/>
          </w:tcPr>
          <w:p w14:paraId="632B2BE6" w14:textId="77777777" w:rsidR="00680D31" w:rsidRDefault="00000000">
            <w:pPr>
              <w:keepNext/>
              <w:keepLines/>
              <w:spacing w:after="0" w:line="240" w:lineRule="auto"/>
              <w:jc w:val="right"/>
            </w:pPr>
            <w:r>
              <w:rPr>
                <w:sz w:val="18"/>
              </w:rPr>
              <w:t>124,9</w:t>
            </w:r>
          </w:p>
        </w:tc>
      </w:tr>
    </w:tbl>
    <w:p w14:paraId="573D2794" w14:textId="77777777" w:rsidR="00680D31" w:rsidRDefault="00680D31">
      <w:pPr>
        <w:spacing w:after="0"/>
      </w:pPr>
    </w:p>
    <w:p w14:paraId="602445C9" w14:textId="77777777" w:rsidR="00680D31" w:rsidRDefault="00000000">
      <w:r>
        <w:t>U tekućem razdoblju nabavljeno je više uredskog materijala i službene literature.</w:t>
      </w:r>
    </w:p>
    <w:p w14:paraId="6A9614DF" w14:textId="77777777" w:rsidR="00680D31" w:rsidRDefault="00680D31"/>
    <w:p w14:paraId="1AAB9B96" w14:textId="77777777" w:rsidR="00680D31"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4252C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7C8489"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F55AB3"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A58A8D"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C11112"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B8D52E"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D6FFEF" w14:textId="77777777" w:rsidR="00680D31" w:rsidRDefault="00000000">
            <w:pPr>
              <w:keepNext/>
              <w:keepLines/>
              <w:spacing w:after="0" w:line="240" w:lineRule="auto"/>
              <w:jc w:val="center"/>
            </w:pPr>
            <w:r>
              <w:rPr>
                <w:b/>
                <w:sz w:val="18"/>
              </w:rPr>
              <w:t>Indeks (%)</w:t>
            </w:r>
          </w:p>
        </w:tc>
      </w:tr>
      <w:tr w:rsidR="00680D31" w14:paraId="7ED6C56A" w14:textId="77777777">
        <w:tblPrEx>
          <w:tblCellMar>
            <w:top w:w="0" w:type="dxa"/>
            <w:bottom w:w="0" w:type="dxa"/>
          </w:tblCellMar>
        </w:tblPrEx>
        <w:trPr>
          <w:cantSplit/>
          <w:trHeight w:val="560"/>
        </w:trPr>
        <w:tc>
          <w:tcPr>
            <w:tcW w:w="700" w:type="dxa"/>
            <w:tcMar>
              <w:top w:w="0" w:type="dxa"/>
              <w:bottom w:w="0" w:type="dxa"/>
            </w:tcMar>
            <w:vAlign w:val="center"/>
          </w:tcPr>
          <w:p w14:paraId="4127DDB9" w14:textId="77777777" w:rsidR="00680D31" w:rsidRDefault="00000000">
            <w:pPr>
              <w:keepNext/>
              <w:keepLines/>
              <w:spacing w:after="0" w:line="240" w:lineRule="auto"/>
            </w:pPr>
            <w:r>
              <w:rPr>
                <w:sz w:val="18"/>
              </w:rPr>
              <w:t>3223</w:t>
            </w:r>
          </w:p>
        </w:tc>
        <w:tc>
          <w:tcPr>
            <w:tcW w:w="3180" w:type="dxa"/>
            <w:tcMar>
              <w:top w:w="0" w:type="dxa"/>
              <w:bottom w:w="0" w:type="dxa"/>
            </w:tcMar>
            <w:vAlign w:val="center"/>
          </w:tcPr>
          <w:p w14:paraId="3171CBCA" w14:textId="77777777" w:rsidR="00680D31" w:rsidRDefault="00000000">
            <w:pPr>
              <w:keepNext/>
              <w:keepLines/>
              <w:spacing w:after="0" w:line="240" w:lineRule="auto"/>
            </w:pPr>
            <w:r>
              <w:rPr>
                <w:sz w:val="18"/>
              </w:rPr>
              <w:t>Energija</w:t>
            </w:r>
          </w:p>
        </w:tc>
        <w:tc>
          <w:tcPr>
            <w:tcW w:w="700" w:type="dxa"/>
            <w:tcMar>
              <w:top w:w="0" w:type="dxa"/>
              <w:bottom w:w="0" w:type="dxa"/>
            </w:tcMar>
            <w:vAlign w:val="center"/>
          </w:tcPr>
          <w:p w14:paraId="75A3C618" w14:textId="77777777" w:rsidR="00680D31" w:rsidRDefault="00000000">
            <w:pPr>
              <w:keepNext/>
              <w:keepLines/>
              <w:spacing w:after="0" w:line="240" w:lineRule="auto"/>
            </w:pPr>
            <w:r>
              <w:rPr>
                <w:sz w:val="18"/>
              </w:rPr>
              <w:t>3223</w:t>
            </w:r>
          </w:p>
        </w:tc>
        <w:tc>
          <w:tcPr>
            <w:tcW w:w="1860" w:type="dxa"/>
            <w:tcMar>
              <w:top w:w="0" w:type="dxa"/>
              <w:bottom w:w="0" w:type="dxa"/>
            </w:tcMar>
            <w:vAlign w:val="center"/>
          </w:tcPr>
          <w:p w14:paraId="26F36C06" w14:textId="77777777" w:rsidR="00680D31" w:rsidRDefault="00000000">
            <w:pPr>
              <w:keepNext/>
              <w:keepLines/>
              <w:spacing w:after="0" w:line="240" w:lineRule="auto"/>
              <w:jc w:val="right"/>
            </w:pPr>
            <w:r>
              <w:rPr>
                <w:sz w:val="18"/>
              </w:rPr>
              <w:t>3.306,91</w:t>
            </w:r>
          </w:p>
        </w:tc>
        <w:tc>
          <w:tcPr>
            <w:tcW w:w="1860" w:type="dxa"/>
            <w:tcMar>
              <w:top w:w="0" w:type="dxa"/>
              <w:bottom w:w="0" w:type="dxa"/>
            </w:tcMar>
            <w:vAlign w:val="center"/>
          </w:tcPr>
          <w:p w14:paraId="6383EBD5" w14:textId="77777777" w:rsidR="00680D31" w:rsidRDefault="00000000">
            <w:pPr>
              <w:keepNext/>
              <w:keepLines/>
              <w:spacing w:after="0" w:line="240" w:lineRule="auto"/>
              <w:jc w:val="right"/>
            </w:pPr>
            <w:r>
              <w:rPr>
                <w:sz w:val="18"/>
              </w:rPr>
              <w:t>4.322,43</w:t>
            </w:r>
          </w:p>
        </w:tc>
        <w:tc>
          <w:tcPr>
            <w:tcW w:w="700" w:type="dxa"/>
            <w:tcMar>
              <w:top w:w="0" w:type="dxa"/>
              <w:bottom w:w="0" w:type="dxa"/>
            </w:tcMar>
            <w:vAlign w:val="center"/>
          </w:tcPr>
          <w:p w14:paraId="56FB396C" w14:textId="77777777" w:rsidR="00680D31" w:rsidRDefault="00000000">
            <w:pPr>
              <w:keepNext/>
              <w:keepLines/>
              <w:spacing w:after="0" w:line="240" w:lineRule="auto"/>
              <w:jc w:val="right"/>
            </w:pPr>
            <w:r>
              <w:rPr>
                <w:sz w:val="18"/>
              </w:rPr>
              <w:t>130,7</w:t>
            </w:r>
          </w:p>
        </w:tc>
      </w:tr>
    </w:tbl>
    <w:p w14:paraId="106063E7" w14:textId="77777777" w:rsidR="00680D31" w:rsidRDefault="00680D31">
      <w:pPr>
        <w:spacing w:after="0"/>
      </w:pPr>
    </w:p>
    <w:p w14:paraId="5CE55A13" w14:textId="77777777" w:rsidR="00680D31" w:rsidRDefault="00000000">
      <w:r>
        <w:t>U tekućoj godini veći su rashodi za plin zbog veće potrošnje plina.</w:t>
      </w:r>
    </w:p>
    <w:p w14:paraId="65BD7DD7" w14:textId="77777777" w:rsidR="00680D31" w:rsidRDefault="00680D31"/>
    <w:p w14:paraId="3191935F" w14:textId="77777777" w:rsidR="00680D31"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0C626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CF7D6D"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0B973E"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5D46D"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A34E90"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09B28B"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135C3C" w14:textId="77777777" w:rsidR="00680D31" w:rsidRDefault="00000000">
            <w:pPr>
              <w:keepNext/>
              <w:keepLines/>
              <w:spacing w:after="0" w:line="240" w:lineRule="auto"/>
              <w:jc w:val="center"/>
            </w:pPr>
            <w:r>
              <w:rPr>
                <w:b/>
                <w:sz w:val="18"/>
              </w:rPr>
              <w:t>Indeks (%)</w:t>
            </w:r>
          </w:p>
        </w:tc>
      </w:tr>
      <w:tr w:rsidR="00680D31" w14:paraId="6A828FFF" w14:textId="77777777">
        <w:tblPrEx>
          <w:tblCellMar>
            <w:top w:w="0" w:type="dxa"/>
            <w:bottom w:w="0" w:type="dxa"/>
          </w:tblCellMar>
        </w:tblPrEx>
        <w:trPr>
          <w:cantSplit/>
          <w:trHeight w:val="560"/>
        </w:trPr>
        <w:tc>
          <w:tcPr>
            <w:tcW w:w="700" w:type="dxa"/>
            <w:tcMar>
              <w:top w:w="0" w:type="dxa"/>
              <w:bottom w:w="0" w:type="dxa"/>
            </w:tcMar>
            <w:vAlign w:val="center"/>
          </w:tcPr>
          <w:p w14:paraId="6CB3E8B6" w14:textId="77777777" w:rsidR="00680D31" w:rsidRDefault="00000000">
            <w:pPr>
              <w:keepNext/>
              <w:keepLines/>
              <w:spacing w:after="0" w:line="240" w:lineRule="auto"/>
            </w:pPr>
            <w:r>
              <w:rPr>
                <w:sz w:val="18"/>
              </w:rPr>
              <w:t>3232</w:t>
            </w:r>
          </w:p>
        </w:tc>
        <w:tc>
          <w:tcPr>
            <w:tcW w:w="3180" w:type="dxa"/>
            <w:tcMar>
              <w:top w:w="0" w:type="dxa"/>
              <w:bottom w:w="0" w:type="dxa"/>
            </w:tcMar>
            <w:vAlign w:val="center"/>
          </w:tcPr>
          <w:p w14:paraId="4CF36FD3" w14:textId="77777777" w:rsidR="00680D31"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215C619" w14:textId="77777777" w:rsidR="00680D31" w:rsidRDefault="00000000">
            <w:pPr>
              <w:keepNext/>
              <w:keepLines/>
              <w:spacing w:after="0" w:line="240" w:lineRule="auto"/>
            </w:pPr>
            <w:r>
              <w:rPr>
                <w:sz w:val="18"/>
              </w:rPr>
              <w:t>3232</w:t>
            </w:r>
          </w:p>
        </w:tc>
        <w:tc>
          <w:tcPr>
            <w:tcW w:w="1860" w:type="dxa"/>
            <w:tcMar>
              <w:top w:w="0" w:type="dxa"/>
              <w:bottom w:w="0" w:type="dxa"/>
            </w:tcMar>
            <w:vAlign w:val="center"/>
          </w:tcPr>
          <w:p w14:paraId="085D7BC3" w14:textId="77777777" w:rsidR="00680D31" w:rsidRDefault="00000000">
            <w:pPr>
              <w:keepNext/>
              <w:keepLines/>
              <w:spacing w:after="0" w:line="240" w:lineRule="auto"/>
              <w:jc w:val="right"/>
            </w:pPr>
            <w:r>
              <w:rPr>
                <w:sz w:val="18"/>
              </w:rPr>
              <w:t>4.503,81</w:t>
            </w:r>
          </w:p>
        </w:tc>
        <w:tc>
          <w:tcPr>
            <w:tcW w:w="1860" w:type="dxa"/>
            <w:tcMar>
              <w:top w:w="0" w:type="dxa"/>
              <w:bottom w:w="0" w:type="dxa"/>
            </w:tcMar>
            <w:vAlign w:val="center"/>
          </w:tcPr>
          <w:p w14:paraId="056190AE" w14:textId="77777777" w:rsidR="00680D31" w:rsidRDefault="00000000">
            <w:pPr>
              <w:keepNext/>
              <w:keepLines/>
              <w:spacing w:after="0" w:line="240" w:lineRule="auto"/>
              <w:jc w:val="right"/>
            </w:pPr>
            <w:r>
              <w:rPr>
                <w:sz w:val="18"/>
              </w:rPr>
              <w:t>2.979,72</w:t>
            </w:r>
          </w:p>
        </w:tc>
        <w:tc>
          <w:tcPr>
            <w:tcW w:w="700" w:type="dxa"/>
            <w:tcMar>
              <w:top w:w="0" w:type="dxa"/>
              <w:bottom w:w="0" w:type="dxa"/>
            </w:tcMar>
            <w:vAlign w:val="center"/>
          </w:tcPr>
          <w:p w14:paraId="0AF81677" w14:textId="77777777" w:rsidR="00680D31" w:rsidRDefault="00000000">
            <w:pPr>
              <w:keepNext/>
              <w:keepLines/>
              <w:spacing w:after="0" w:line="240" w:lineRule="auto"/>
              <w:jc w:val="right"/>
            </w:pPr>
            <w:r>
              <w:rPr>
                <w:sz w:val="18"/>
              </w:rPr>
              <w:t>66,2</w:t>
            </w:r>
          </w:p>
        </w:tc>
      </w:tr>
    </w:tbl>
    <w:p w14:paraId="2DDB0F64" w14:textId="77777777" w:rsidR="00680D31" w:rsidRDefault="00680D31">
      <w:pPr>
        <w:spacing w:after="0"/>
      </w:pPr>
    </w:p>
    <w:p w14:paraId="47EA3C6E" w14:textId="77777777" w:rsidR="00680D31" w:rsidRDefault="00000000">
      <w:r>
        <w:t>U 2024. god. izvršen je značajniji servis bojlera te su rashodi veći.</w:t>
      </w:r>
    </w:p>
    <w:p w14:paraId="001D1E48" w14:textId="77777777" w:rsidR="00680D31" w:rsidRDefault="00680D31"/>
    <w:p w14:paraId="781F6D38" w14:textId="77777777" w:rsidR="00680D31"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7BCAFB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ADFEF8"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1B6175"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76BEE4"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5EE32"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0FC4F0"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02FDAF" w14:textId="77777777" w:rsidR="00680D31" w:rsidRDefault="00000000">
            <w:pPr>
              <w:keepNext/>
              <w:keepLines/>
              <w:spacing w:after="0" w:line="240" w:lineRule="auto"/>
              <w:jc w:val="center"/>
            </w:pPr>
            <w:r>
              <w:rPr>
                <w:b/>
                <w:sz w:val="18"/>
              </w:rPr>
              <w:t>Indeks (%)</w:t>
            </w:r>
          </w:p>
        </w:tc>
      </w:tr>
      <w:tr w:rsidR="00680D31" w14:paraId="0F74208D" w14:textId="77777777">
        <w:tblPrEx>
          <w:tblCellMar>
            <w:top w:w="0" w:type="dxa"/>
            <w:bottom w:w="0" w:type="dxa"/>
          </w:tblCellMar>
        </w:tblPrEx>
        <w:trPr>
          <w:cantSplit/>
          <w:trHeight w:val="560"/>
        </w:trPr>
        <w:tc>
          <w:tcPr>
            <w:tcW w:w="700" w:type="dxa"/>
            <w:tcMar>
              <w:top w:w="0" w:type="dxa"/>
              <w:bottom w:w="0" w:type="dxa"/>
            </w:tcMar>
            <w:vAlign w:val="center"/>
          </w:tcPr>
          <w:p w14:paraId="352E2116" w14:textId="77777777" w:rsidR="00680D31" w:rsidRDefault="00000000">
            <w:pPr>
              <w:keepNext/>
              <w:keepLines/>
              <w:spacing w:after="0" w:line="240" w:lineRule="auto"/>
            </w:pPr>
            <w:r>
              <w:rPr>
                <w:sz w:val="18"/>
              </w:rPr>
              <w:t>3234</w:t>
            </w:r>
          </w:p>
        </w:tc>
        <w:tc>
          <w:tcPr>
            <w:tcW w:w="3180" w:type="dxa"/>
            <w:tcMar>
              <w:top w:w="0" w:type="dxa"/>
              <w:bottom w:w="0" w:type="dxa"/>
            </w:tcMar>
            <w:vAlign w:val="center"/>
          </w:tcPr>
          <w:p w14:paraId="45B818F1" w14:textId="77777777" w:rsidR="00680D31" w:rsidRDefault="00000000">
            <w:pPr>
              <w:keepNext/>
              <w:keepLines/>
              <w:spacing w:after="0" w:line="240" w:lineRule="auto"/>
            </w:pPr>
            <w:r>
              <w:rPr>
                <w:sz w:val="18"/>
              </w:rPr>
              <w:t>Komunalne usluge</w:t>
            </w:r>
          </w:p>
        </w:tc>
        <w:tc>
          <w:tcPr>
            <w:tcW w:w="700" w:type="dxa"/>
            <w:tcMar>
              <w:top w:w="0" w:type="dxa"/>
              <w:bottom w:w="0" w:type="dxa"/>
            </w:tcMar>
            <w:vAlign w:val="center"/>
          </w:tcPr>
          <w:p w14:paraId="42A1A81F" w14:textId="77777777" w:rsidR="00680D31" w:rsidRDefault="00000000">
            <w:pPr>
              <w:keepNext/>
              <w:keepLines/>
              <w:spacing w:after="0" w:line="240" w:lineRule="auto"/>
            </w:pPr>
            <w:r>
              <w:rPr>
                <w:sz w:val="18"/>
              </w:rPr>
              <w:t>3234</w:t>
            </w:r>
          </w:p>
        </w:tc>
        <w:tc>
          <w:tcPr>
            <w:tcW w:w="1860" w:type="dxa"/>
            <w:tcMar>
              <w:top w:w="0" w:type="dxa"/>
              <w:bottom w:w="0" w:type="dxa"/>
            </w:tcMar>
            <w:vAlign w:val="center"/>
          </w:tcPr>
          <w:p w14:paraId="4EBB8D8B" w14:textId="77777777" w:rsidR="00680D31" w:rsidRDefault="00000000">
            <w:pPr>
              <w:keepNext/>
              <w:keepLines/>
              <w:spacing w:after="0" w:line="240" w:lineRule="auto"/>
              <w:jc w:val="right"/>
            </w:pPr>
            <w:r>
              <w:rPr>
                <w:sz w:val="18"/>
              </w:rPr>
              <w:t>522,14</w:t>
            </w:r>
          </w:p>
        </w:tc>
        <w:tc>
          <w:tcPr>
            <w:tcW w:w="1860" w:type="dxa"/>
            <w:tcMar>
              <w:top w:w="0" w:type="dxa"/>
              <w:bottom w:w="0" w:type="dxa"/>
            </w:tcMar>
            <w:vAlign w:val="center"/>
          </w:tcPr>
          <w:p w14:paraId="0C31F700" w14:textId="77777777" w:rsidR="00680D31" w:rsidRDefault="00000000">
            <w:pPr>
              <w:keepNext/>
              <w:keepLines/>
              <w:spacing w:after="0" w:line="240" w:lineRule="auto"/>
              <w:jc w:val="right"/>
            </w:pPr>
            <w:r>
              <w:rPr>
                <w:sz w:val="18"/>
              </w:rPr>
              <w:t>1.614,68</w:t>
            </w:r>
          </w:p>
        </w:tc>
        <w:tc>
          <w:tcPr>
            <w:tcW w:w="700" w:type="dxa"/>
            <w:tcMar>
              <w:top w:w="0" w:type="dxa"/>
              <w:bottom w:w="0" w:type="dxa"/>
            </w:tcMar>
            <w:vAlign w:val="center"/>
          </w:tcPr>
          <w:p w14:paraId="73DD64E2" w14:textId="77777777" w:rsidR="00680D31" w:rsidRDefault="00000000">
            <w:pPr>
              <w:keepNext/>
              <w:keepLines/>
              <w:spacing w:after="0" w:line="240" w:lineRule="auto"/>
              <w:jc w:val="right"/>
            </w:pPr>
            <w:r>
              <w:rPr>
                <w:sz w:val="18"/>
              </w:rPr>
              <w:t>309,2</w:t>
            </w:r>
          </w:p>
        </w:tc>
      </w:tr>
    </w:tbl>
    <w:p w14:paraId="75116ACE" w14:textId="77777777" w:rsidR="00680D31" w:rsidRDefault="00680D31">
      <w:pPr>
        <w:spacing w:after="0"/>
      </w:pPr>
    </w:p>
    <w:p w14:paraId="383B59C5" w14:textId="77777777" w:rsidR="00680D31" w:rsidRDefault="00000000">
      <w:r>
        <w:t>U tekućem razdoblju veći su rashodi za vodu i smeće te su nastali rashodi za pričuvu.</w:t>
      </w:r>
    </w:p>
    <w:p w14:paraId="57EFBAFF" w14:textId="77777777" w:rsidR="00680D31" w:rsidRDefault="00680D31"/>
    <w:p w14:paraId="22E5C013" w14:textId="77777777" w:rsidR="00680D31"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C19F8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0660E8"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C0937B"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E67814"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99590E"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FA33FE"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A9832C" w14:textId="77777777" w:rsidR="00680D31" w:rsidRDefault="00000000">
            <w:pPr>
              <w:keepNext/>
              <w:keepLines/>
              <w:spacing w:after="0" w:line="240" w:lineRule="auto"/>
              <w:jc w:val="center"/>
            </w:pPr>
            <w:r>
              <w:rPr>
                <w:b/>
                <w:sz w:val="18"/>
              </w:rPr>
              <w:t>Indeks (%)</w:t>
            </w:r>
          </w:p>
        </w:tc>
      </w:tr>
      <w:tr w:rsidR="00680D31" w14:paraId="0E358C76" w14:textId="77777777">
        <w:tblPrEx>
          <w:tblCellMar>
            <w:top w:w="0" w:type="dxa"/>
            <w:bottom w:w="0" w:type="dxa"/>
          </w:tblCellMar>
        </w:tblPrEx>
        <w:trPr>
          <w:cantSplit/>
          <w:trHeight w:val="560"/>
        </w:trPr>
        <w:tc>
          <w:tcPr>
            <w:tcW w:w="700" w:type="dxa"/>
            <w:tcMar>
              <w:top w:w="0" w:type="dxa"/>
              <w:bottom w:w="0" w:type="dxa"/>
            </w:tcMar>
            <w:vAlign w:val="center"/>
          </w:tcPr>
          <w:p w14:paraId="7B4D754A" w14:textId="77777777" w:rsidR="00680D31" w:rsidRDefault="00000000">
            <w:pPr>
              <w:keepNext/>
              <w:keepLines/>
              <w:spacing w:after="0" w:line="240" w:lineRule="auto"/>
            </w:pPr>
            <w:r>
              <w:rPr>
                <w:sz w:val="18"/>
              </w:rPr>
              <w:t>3235</w:t>
            </w:r>
          </w:p>
        </w:tc>
        <w:tc>
          <w:tcPr>
            <w:tcW w:w="3180" w:type="dxa"/>
            <w:tcMar>
              <w:top w:w="0" w:type="dxa"/>
              <w:bottom w:w="0" w:type="dxa"/>
            </w:tcMar>
            <w:vAlign w:val="center"/>
          </w:tcPr>
          <w:p w14:paraId="65999A08" w14:textId="77777777" w:rsidR="00680D31" w:rsidRDefault="00000000">
            <w:pPr>
              <w:keepNext/>
              <w:keepLines/>
              <w:spacing w:after="0" w:line="240" w:lineRule="auto"/>
            </w:pPr>
            <w:r>
              <w:rPr>
                <w:sz w:val="18"/>
              </w:rPr>
              <w:t>Zakupnine i najamnine</w:t>
            </w:r>
          </w:p>
        </w:tc>
        <w:tc>
          <w:tcPr>
            <w:tcW w:w="700" w:type="dxa"/>
            <w:tcMar>
              <w:top w:w="0" w:type="dxa"/>
              <w:bottom w:w="0" w:type="dxa"/>
            </w:tcMar>
            <w:vAlign w:val="center"/>
          </w:tcPr>
          <w:p w14:paraId="50B71260" w14:textId="77777777" w:rsidR="00680D31" w:rsidRDefault="00000000">
            <w:pPr>
              <w:keepNext/>
              <w:keepLines/>
              <w:spacing w:after="0" w:line="240" w:lineRule="auto"/>
            </w:pPr>
            <w:r>
              <w:rPr>
                <w:sz w:val="18"/>
              </w:rPr>
              <w:t>3235</w:t>
            </w:r>
          </w:p>
        </w:tc>
        <w:tc>
          <w:tcPr>
            <w:tcW w:w="1860" w:type="dxa"/>
            <w:tcMar>
              <w:top w:w="0" w:type="dxa"/>
              <w:bottom w:w="0" w:type="dxa"/>
            </w:tcMar>
            <w:vAlign w:val="center"/>
          </w:tcPr>
          <w:p w14:paraId="1A48D52E" w14:textId="77777777" w:rsidR="00680D31" w:rsidRDefault="00000000">
            <w:pPr>
              <w:keepNext/>
              <w:keepLines/>
              <w:spacing w:after="0" w:line="240" w:lineRule="auto"/>
              <w:jc w:val="right"/>
            </w:pPr>
            <w:r>
              <w:rPr>
                <w:sz w:val="18"/>
              </w:rPr>
              <w:t>2.233,43</w:t>
            </w:r>
          </w:p>
        </w:tc>
        <w:tc>
          <w:tcPr>
            <w:tcW w:w="1860" w:type="dxa"/>
            <w:tcMar>
              <w:top w:w="0" w:type="dxa"/>
              <w:bottom w:w="0" w:type="dxa"/>
            </w:tcMar>
            <w:vAlign w:val="center"/>
          </w:tcPr>
          <w:p w14:paraId="7726F330" w14:textId="77777777" w:rsidR="00680D31" w:rsidRDefault="00000000">
            <w:pPr>
              <w:keepNext/>
              <w:keepLines/>
              <w:spacing w:after="0" w:line="240" w:lineRule="auto"/>
              <w:jc w:val="right"/>
            </w:pPr>
            <w:r>
              <w:rPr>
                <w:sz w:val="18"/>
              </w:rPr>
              <w:t>10.037,30</w:t>
            </w:r>
          </w:p>
        </w:tc>
        <w:tc>
          <w:tcPr>
            <w:tcW w:w="700" w:type="dxa"/>
            <w:tcMar>
              <w:top w:w="0" w:type="dxa"/>
              <w:bottom w:w="0" w:type="dxa"/>
            </w:tcMar>
            <w:vAlign w:val="center"/>
          </w:tcPr>
          <w:p w14:paraId="2C4C8275" w14:textId="77777777" w:rsidR="00680D31" w:rsidRDefault="00000000">
            <w:pPr>
              <w:keepNext/>
              <w:keepLines/>
              <w:spacing w:after="0" w:line="240" w:lineRule="auto"/>
              <w:jc w:val="right"/>
            </w:pPr>
            <w:r>
              <w:rPr>
                <w:sz w:val="18"/>
              </w:rPr>
              <w:t>449,4</w:t>
            </w:r>
          </w:p>
        </w:tc>
      </w:tr>
    </w:tbl>
    <w:p w14:paraId="375A490F" w14:textId="77777777" w:rsidR="00680D31" w:rsidRDefault="00680D31">
      <w:pPr>
        <w:spacing w:after="0"/>
      </w:pPr>
    </w:p>
    <w:p w14:paraId="1DB19526" w14:textId="77777777" w:rsidR="00680D31" w:rsidRDefault="00000000">
      <w:r>
        <w:t>U  tekućem razdoblju plaća se najam prostora za potrebe Knjižnice. </w:t>
      </w:r>
    </w:p>
    <w:p w14:paraId="40B39E55" w14:textId="77777777" w:rsidR="00680D31" w:rsidRDefault="00680D31"/>
    <w:p w14:paraId="45CE0051" w14:textId="77777777" w:rsidR="00680D31"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0BC8DC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EEEA50"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9FAC19"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99F4EE"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60AA0"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E296DB"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C23DC7" w14:textId="77777777" w:rsidR="00680D31" w:rsidRDefault="00000000">
            <w:pPr>
              <w:keepNext/>
              <w:keepLines/>
              <w:spacing w:after="0" w:line="240" w:lineRule="auto"/>
              <w:jc w:val="center"/>
            </w:pPr>
            <w:r>
              <w:rPr>
                <w:b/>
                <w:sz w:val="18"/>
              </w:rPr>
              <w:t>Indeks (%)</w:t>
            </w:r>
          </w:p>
        </w:tc>
      </w:tr>
      <w:tr w:rsidR="00680D31" w14:paraId="56F82BC4" w14:textId="77777777">
        <w:tblPrEx>
          <w:tblCellMar>
            <w:top w:w="0" w:type="dxa"/>
            <w:bottom w:w="0" w:type="dxa"/>
          </w:tblCellMar>
        </w:tblPrEx>
        <w:trPr>
          <w:cantSplit/>
          <w:trHeight w:val="560"/>
        </w:trPr>
        <w:tc>
          <w:tcPr>
            <w:tcW w:w="700" w:type="dxa"/>
            <w:tcMar>
              <w:top w:w="0" w:type="dxa"/>
              <w:bottom w:w="0" w:type="dxa"/>
            </w:tcMar>
            <w:vAlign w:val="center"/>
          </w:tcPr>
          <w:p w14:paraId="33C1DE39" w14:textId="77777777" w:rsidR="00680D31" w:rsidRDefault="00000000">
            <w:pPr>
              <w:keepNext/>
              <w:keepLines/>
              <w:spacing w:after="0" w:line="240" w:lineRule="auto"/>
            </w:pPr>
            <w:r>
              <w:rPr>
                <w:sz w:val="18"/>
              </w:rPr>
              <w:t>3236</w:t>
            </w:r>
          </w:p>
        </w:tc>
        <w:tc>
          <w:tcPr>
            <w:tcW w:w="3180" w:type="dxa"/>
            <w:tcMar>
              <w:top w:w="0" w:type="dxa"/>
              <w:bottom w:w="0" w:type="dxa"/>
            </w:tcMar>
            <w:vAlign w:val="center"/>
          </w:tcPr>
          <w:p w14:paraId="2F76F1BF" w14:textId="77777777" w:rsidR="00680D31"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0124F958" w14:textId="77777777" w:rsidR="00680D31" w:rsidRDefault="00000000">
            <w:pPr>
              <w:keepNext/>
              <w:keepLines/>
              <w:spacing w:after="0" w:line="240" w:lineRule="auto"/>
            </w:pPr>
            <w:r>
              <w:rPr>
                <w:sz w:val="18"/>
              </w:rPr>
              <w:t>3236</w:t>
            </w:r>
          </w:p>
        </w:tc>
        <w:tc>
          <w:tcPr>
            <w:tcW w:w="1860" w:type="dxa"/>
            <w:tcMar>
              <w:top w:w="0" w:type="dxa"/>
              <w:bottom w:w="0" w:type="dxa"/>
            </w:tcMar>
            <w:vAlign w:val="center"/>
          </w:tcPr>
          <w:p w14:paraId="027E46FE"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41761D38" w14:textId="77777777" w:rsidR="00680D31" w:rsidRDefault="00000000">
            <w:pPr>
              <w:keepNext/>
              <w:keepLines/>
              <w:spacing w:after="0" w:line="240" w:lineRule="auto"/>
              <w:jc w:val="right"/>
            </w:pPr>
            <w:r>
              <w:rPr>
                <w:sz w:val="18"/>
              </w:rPr>
              <w:t>1.380,00</w:t>
            </w:r>
          </w:p>
        </w:tc>
        <w:tc>
          <w:tcPr>
            <w:tcW w:w="700" w:type="dxa"/>
            <w:tcMar>
              <w:top w:w="0" w:type="dxa"/>
              <w:bottom w:w="0" w:type="dxa"/>
            </w:tcMar>
            <w:vAlign w:val="center"/>
          </w:tcPr>
          <w:p w14:paraId="6B4BD35B" w14:textId="77777777" w:rsidR="00680D31" w:rsidRDefault="00000000">
            <w:pPr>
              <w:keepNext/>
              <w:keepLines/>
              <w:spacing w:after="0" w:line="240" w:lineRule="auto"/>
              <w:jc w:val="right"/>
            </w:pPr>
            <w:r>
              <w:rPr>
                <w:sz w:val="18"/>
              </w:rPr>
              <w:t>-</w:t>
            </w:r>
          </w:p>
        </w:tc>
      </w:tr>
    </w:tbl>
    <w:p w14:paraId="09B3D2A7" w14:textId="77777777" w:rsidR="00680D31" w:rsidRDefault="00680D31">
      <w:pPr>
        <w:spacing w:after="0"/>
      </w:pPr>
    </w:p>
    <w:p w14:paraId="52A4F8FB" w14:textId="77777777" w:rsidR="00680D31" w:rsidRDefault="00000000">
      <w:r>
        <w:t>U 2025. god. obavljen je sistematski pregled zaposlenika (32361).</w:t>
      </w:r>
    </w:p>
    <w:p w14:paraId="1DF08463" w14:textId="77777777" w:rsidR="00680D31" w:rsidRDefault="00680D31"/>
    <w:p w14:paraId="2F137D38" w14:textId="77777777" w:rsidR="00680D31"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A904F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B78A1D"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3A39ED"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D0633"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73A8D8"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2149E6"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1CD7D1" w14:textId="77777777" w:rsidR="00680D31" w:rsidRDefault="00000000">
            <w:pPr>
              <w:keepNext/>
              <w:keepLines/>
              <w:spacing w:after="0" w:line="240" w:lineRule="auto"/>
              <w:jc w:val="center"/>
            </w:pPr>
            <w:r>
              <w:rPr>
                <w:b/>
                <w:sz w:val="18"/>
              </w:rPr>
              <w:t>Indeks (%)</w:t>
            </w:r>
          </w:p>
        </w:tc>
      </w:tr>
      <w:tr w:rsidR="00680D31" w14:paraId="61487190" w14:textId="77777777">
        <w:tblPrEx>
          <w:tblCellMar>
            <w:top w:w="0" w:type="dxa"/>
            <w:bottom w:w="0" w:type="dxa"/>
          </w:tblCellMar>
        </w:tblPrEx>
        <w:trPr>
          <w:cantSplit/>
          <w:trHeight w:val="560"/>
        </w:trPr>
        <w:tc>
          <w:tcPr>
            <w:tcW w:w="700" w:type="dxa"/>
            <w:tcMar>
              <w:top w:w="0" w:type="dxa"/>
              <w:bottom w:w="0" w:type="dxa"/>
            </w:tcMar>
            <w:vAlign w:val="center"/>
          </w:tcPr>
          <w:p w14:paraId="7D564F18" w14:textId="77777777" w:rsidR="00680D31" w:rsidRDefault="00000000">
            <w:pPr>
              <w:keepNext/>
              <w:keepLines/>
              <w:spacing w:after="0" w:line="240" w:lineRule="auto"/>
            </w:pPr>
            <w:r>
              <w:rPr>
                <w:sz w:val="18"/>
              </w:rPr>
              <w:t>3237</w:t>
            </w:r>
          </w:p>
        </w:tc>
        <w:tc>
          <w:tcPr>
            <w:tcW w:w="3180" w:type="dxa"/>
            <w:tcMar>
              <w:top w:w="0" w:type="dxa"/>
              <w:bottom w:w="0" w:type="dxa"/>
            </w:tcMar>
            <w:vAlign w:val="center"/>
          </w:tcPr>
          <w:p w14:paraId="7325476C" w14:textId="77777777" w:rsidR="00680D31"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7831F63D" w14:textId="77777777" w:rsidR="00680D31" w:rsidRDefault="00000000">
            <w:pPr>
              <w:keepNext/>
              <w:keepLines/>
              <w:spacing w:after="0" w:line="240" w:lineRule="auto"/>
            </w:pPr>
            <w:r>
              <w:rPr>
                <w:sz w:val="18"/>
              </w:rPr>
              <w:t>3237</w:t>
            </w:r>
          </w:p>
        </w:tc>
        <w:tc>
          <w:tcPr>
            <w:tcW w:w="1860" w:type="dxa"/>
            <w:tcMar>
              <w:top w:w="0" w:type="dxa"/>
              <w:bottom w:w="0" w:type="dxa"/>
            </w:tcMar>
            <w:vAlign w:val="center"/>
          </w:tcPr>
          <w:p w14:paraId="2FC073AE" w14:textId="77777777" w:rsidR="00680D31" w:rsidRDefault="00000000">
            <w:pPr>
              <w:keepNext/>
              <w:keepLines/>
              <w:spacing w:after="0" w:line="240" w:lineRule="auto"/>
              <w:jc w:val="right"/>
            </w:pPr>
            <w:r>
              <w:rPr>
                <w:sz w:val="18"/>
              </w:rPr>
              <w:t>14.222,92</w:t>
            </w:r>
          </w:p>
        </w:tc>
        <w:tc>
          <w:tcPr>
            <w:tcW w:w="1860" w:type="dxa"/>
            <w:tcMar>
              <w:top w:w="0" w:type="dxa"/>
              <w:bottom w:w="0" w:type="dxa"/>
            </w:tcMar>
            <w:vAlign w:val="center"/>
          </w:tcPr>
          <w:p w14:paraId="052294E2" w14:textId="77777777" w:rsidR="00680D31" w:rsidRDefault="00000000">
            <w:pPr>
              <w:keepNext/>
              <w:keepLines/>
              <w:spacing w:after="0" w:line="240" w:lineRule="auto"/>
              <w:jc w:val="right"/>
            </w:pPr>
            <w:r>
              <w:rPr>
                <w:sz w:val="18"/>
              </w:rPr>
              <w:t>6.118,26</w:t>
            </w:r>
          </w:p>
        </w:tc>
        <w:tc>
          <w:tcPr>
            <w:tcW w:w="700" w:type="dxa"/>
            <w:tcMar>
              <w:top w:w="0" w:type="dxa"/>
              <w:bottom w:w="0" w:type="dxa"/>
            </w:tcMar>
            <w:vAlign w:val="center"/>
          </w:tcPr>
          <w:p w14:paraId="1AB65E32" w14:textId="77777777" w:rsidR="00680D31" w:rsidRDefault="00000000">
            <w:pPr>
              <w:keepNext/>
              <w:keepLines/>
              <w:spacing w:after="0" w:line="240" w:lineRule="auto"/>
              <w:jc w:val="right"/>
            </w:pPr>
            <w:r>
              <w:rPr>
                <w:sz w:val="18"/>
              </w:rPr>
              <w:t>43,0</w:t>
            </w:r>
          </w:p>
        </w:tc>
      </w:tr>
    </w:tbl>
    <w:p w14:paraId="33399381" w14:textId="77777777" w:rsidR="00680D31" w:rsidRDefault="00680D31">
      <w:pPr>
        <w:spacing w:after="0"/>
      </w:pPr>
    </w:p>
    <w:p w14:paraId="42DC8ECF" w14:textId="77777777" w:rsidR="00680D31" w:rsidRDefault="00000000">
      <w:r>
        <w:t>U prethodnom razdoblju isplaćeno je više naknada za rad po autorskom ugovoru što ovisi o realiziranim aktivnostima i projektima. Također je plaćen račun za odvjetničke usluge vezan uz pružanje pravnih usluga.</w:t>
      </w:r>
    </w:p>
    <w:p w14:paraId="225F77F6" w14:textId="77777777" w:rsidR="00680D31" w:rsidRDefault="00680D31"/>
    <w:p w14:paraId="4389ED43" w14:textId="77777777" w:rsidR="00680D31"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374D1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5FF577"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588CB5"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1AB141"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0ED89D"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98DC40"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46353B" w14:textId="77777777" w:rsidR="00680D31" w:rsidRDefault="00000000">
            <w:pPr>
              <w:keepNext/>
              <w:keepLines/>
              <w:spacing w:after="0" w:line="240" w:lineRule="auto"/>
              <w:jc w:val="center"/>
            </w:pPr>
            <w:r>
              <w:rPr>
                <w:b/>
                <w:sz w:val="18"/>
              </w:rPr>
              <w:t>Indeks (%)</w:t>
            </w:r>
          </w:p>
        </w:tc>
      </w:tr>
      <w:tr w:rsidR="00680D31" w14:paraId="0CCB0B52" w14:textId="77777777">
        <w:tblPrEx>
          <w:tblCellMar>
            <w:top w:w="0" w:type="dxa"/>
            <w:bottom w:w="0" w:type="dxa"/>
          </w:tblCellMar>
        </w:tblPrEx>
        <w:trPr>
          <w:cantSplit/>
          <w:trHeight w:val="560"/>
        </w:trPr>
        <w:tc>
          <w:tcPr>
            <w:tcW w:w="700" w:type="dxa"/>
            <w:tcMar>
              <w:top w:w="0" w:type="dxa"/>
              <w:bottom w:w="0" w:type="dxa"/>
            </w:tcMar>
            <w:vAlign w:val="center"/>
          </w:tcPr>
          <w:p w14:paraId="23A2911A" w14:textId="77777777" w:rsidR="00680D31" w:rsidRDefault="00000000">
            <w:pPr>
              <w:keepNext/>
              <w:keepLines/>
              <w:spacing w:after="0" w:line="240" w:lineRule="auto"/>
            </w:pPr>
            <w:r>
              <w:rPr>
                <w:sz w:val="18"/>
              </w:rPr>
              <w:t>3295</w:t>
            </w:r>
          </w:p>
        </w:tc>
        <w:tc>
          <w:tcPr>
            <w:tcW w:w="3180" w:type="dxa"/>
            <w:tcMar>
              <w:top w:w="0" w:type="dxa"/>
              <w:bottom w:w="0" w:type="dxa"/>
            </w:tcMar>
            <w:vAlign w:val="center"/>
          </w:tcPr>
          <w:p w14:paraId="2EA5592E" w14:textId="77777777" w:rsidR="00680D31" w:rsidRDefault="00000000">
            <w:pPr>
              <w:keepNext/>
              <w:keepLines/>
              <w:spacing w:after="0" w:line="240" w:lineRule="auto"/>
            </w:pPr>
            <w:r>
              <w:rPr>
                <w:sz w:val="18"/>
              </w:rPr>
              <w:t>Pristojbe i naknade</w:t>
            </w:r>
          </w:p>
        </w:tc>
        <w:tc>
          <w:tcPr>
            <w:tcW w:w="700" w:type="dxa"/>
            <w:tcMar>
              <w:top w:w="0" w:type="dxa"/>
              <w:bottom w:w="0" w:type="dxa"/>
            </w:tcMar>
            <w:vAlign w:val="center"/>
          </w:tcPr>
          <w:p w14:paraId="185AFF2C" w14:textId="77777777" w:rsidR="00680D31" w:rsidRDefault="00000000">
            <w:pPr>
              <w:keepNext/>
              <w:keepLines/>
              <w:spacing w:after="0" w:line="240" w:lineRule="auto"/>
            </w:pPr>
            <w:r>
              <w:rPr>
                <w:sz w:val="18"/>
              </w:rPr>
              <w:t>3295</w:t>
            </w:r>
          </w:p>
        </w:tc>
        <w:tc>
          <w:tcPr>
            <w:tcW w:w="1860" w:type="dxa"/>
            <w:tcMar>
              <w:top w:w="0" w:type="dxa"/>
              <w:bottom w:w="0" w:type="dxa"/>
            </w:tcMar>
            <w:vAlign w:val="center"/>
          </w:tcPr>
          <w:p w14:paraId="75FBFD11" w14:textId="77777777" w:rsidR="00680D31" w:rsidRDefault="00000000">
            <w:pPr>
              <w:keepNext/>
              <w:keepLines/>
              <w:spacing w:after="0" w:line="240" w:lineRule="auto"/>
              <w:jc w:val="right"/>
            </w:pPr>
            <w:r>
              <w:rPr>
                <w:sz w:val="18"/>
              </w:rPr>
              <w:t>33,18</w:t>
            </w:r>
          </w:p>
        </w:tc>
        <w:tc>
          <w:tcPr>
            <w:tcW w:w="1860" w:type="dxa"/>
            <w:tcMar>
              <w:top w:w="0" w:type="dxa"/>
              <w:bottom w:w="0" w:type="dxa"/>
            </w:tcMar>
            <w:vAlign w:val="center"/>
          </w:tcPr>
          <w:p w14:paraId="5F287D52" w14:textId="77777777" w:rsidR="00680D31" w:rsidRDefault="00000000">
            <w:pPr>
              <w:keepNext/>
              <w:keepLines/>
              <w:spacing w:after="0" w:line="240" w:lineRule="auto"/>
              <w:jc w:val="right"/>
            </w:pPr>
            <w:r>
              <w:rPr>
                <w:sz w:val="18"/>
              </w:rPr>
              <w:t>0,00</w:t>
            </w:r>
          </w:p>
        </w:tc>
        <w:tc>
          <w:tcPr>
            <w:tcW w:w="700" w:type="dxa"/>
            <w:tcMar>
              <w:top w:w="0" w:type="dxa"/>
              <w:bottom w:w="0" w:type="dxa"/>
            </w:tcMar>
            <w:vAlign w:val="center"/>
          </w:tcPr>
          <w:p w14:paraId="2F5C8E47" w14:textId="77777777" w:rsidR="00680D31" w:rsidRDefault="00000000">
            <w:pPr>
              <w:keepNext/>
              <w:keepLines/>
              <w:spacing w:after="0" w:line="240" w:lineRule="auto"/>
              <w:jc w:val="right"/>
            </w:pPr>
            <w:r>
              <w:rPr>
                <w:sz w:val="18"/>
              </w:rPr>
              <w:t>0</w:t>
            </w:r>
          </w:p>
        </w:tc>
      </w:tr>
    </w:tbl>
    <w:p w14:paraId="647DEDE0" w14:textId="77777777" w:rsidR="00680D31" w:rsidRDefault="00680D31">
      <w:pPr>
        <w:spacing w:after="0"/>
      </w:pPr>
    </w:p>
    <w:p w14:paraId="4E1BA734" w14:textId="77777777" w:rsidR="00680D31" w:rsidRDefault="00000000">
      <w:r>
        <w:t>U prethodnoj godini plaćena sudska pristojba.</w:t>
      </w:r>
    </w:p>
    <w:p w14:paraId="15EA6743" w14:textId="77777777" w:rsidR="00680D31" w:rsidRDefault="00680D31"/>
    <w:p w14:paraId="5C8821FF" w14:textId="77777777" w:rsidR="00680D31"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5E33C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8D175D"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C641EC"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DBCD61"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62E97E"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445C9"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162701" w14:textId="77777777" w:rsidR="00680D31" w:rsidRDefault="00000000">
            <w:pPr>
              <w:keepNext/>
              <w:keepLines/>
              <w:spacing w:after="0" w:line="240" w:lineRule="auto"/>
              <w:jc w:val="center"/>
            </w:pPr>
            <w:r>
              <w:rPr>
                <w:b/>
                <w:sz w:val="18"/>
              </w:rPr>
              <w:t>Indeks (%)</w:t>
            </w:r>
          </w:p>
        </w:tc>
      </w:tr>
      <w:tr w:rsidR="00680D31" w14:paraId="27DDC724" w14:textId="77777777">
        <w:tblPrEx>
          <w:tblCellMar>
            <w:top w:w="0" w:type="dxa"/>
            <w:bottom w:w="0" w:type="dxa"/>
          </w:tblCellMar>
        </w:tblPrEx>
        <w:trPr>
          <w:cantSplit/>
          <w:trHeight w:val="560"/>
        </w:trPr>
        <w:tc>
          <w:tcPr>
            <w:tcW w:w="700" w:type="dxa"/>
            <w:tcMar>
              <w:top w:w="0" w:type="dxa"/>
              <w:bottom w:w="0" w:type="dxa"/>
            </w:tcMar>
            <w:vAlign w:val="center"/>
          </w:tcPr>
          <w:p w14:paraId="698C9E13" w14:textId="77777777" w:rsidR="00680D31" w:rsidRDefault="00000000">
            <w:pPr>
              <w:keepNext/>
              <w:keepLines/>
              <w:spacing w:after="0" w:line="240" w:lineRule="auto"/>
            </w:pPr>
            <w:r>
              <w:rPr>
                <w:sz w:val="18"/>
              </w:rPr>
              <w:t>426</w:t>
            </w:r>
          </w:p>
        </w:tc>
        <w:tc>
          <w:tcPr>
            <w:tcW w:w="3180" w:type="dxa"/>
            <w:tcMar>
              <w:top w:w="0" w:type="dxa"/>
              <w:bottom w:w="0" w:type="dxa"/>
            </w:tcMar>
            <w:vAlign w:val="center"/>
          </w:tcPr>
          <w:p w14:paraId="52992BC6" w14:textId="77777777" w:rsidR="00680D31"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593121D8" w14:textId="77777777" w:rsidR="00680D31" w:rsidRDefault="00000000">
            <w:pPr>
              <w:keepNext/>
              <w:keepLines/>
              <w:spacing w:after="0" w:line="240" w:lineRule="auto"/>
            </w:pPr>
            <w:r>
              <w:rPr>
                <w:sz w:val="18"/>
              </w:rPr>
              <w:t>426</w:t>
            </w:r>
          </w:p>
        </w:tc>
        <w:tc>
          <w:tcPr>
            <w:tcW w:w="1860" w:type="dxa"/>
            <w:tcMar>
              <w:top w:w="0" w:type="dxa"/>
              <w:bottom w:w="0" w:type="dxa"/>
            </w:tcMar>
            <w:vAlign w:val="center"/>
          </w:tcPr>
          <w:p w14:paraId="4CEC5048"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20D0BAD1" w14:textId="77777777" w:rsidR="00680D31" w:rsidRDefault="00000000">
            <w:pPr>
              <w:keepNext/>
              <w:keepLines/>
              <w:spacing w:after="0" w:line="240" w:lineRule="auto"/>
              <w:jc w:val="right"/>
            </w:pPr>
            <w:r>
              <w:rPr>
                <w:sz w:val="18"/>
              </w:rPr>
              <w:t>8.250,00</w:t>
            </w:r>
          </w:p>
        </w:tc>
        <w:tc>
          <w:tcPr>
            <w:tcW w:w="700" w:type="dxa"/>
            <w:tcMar>
              <w:top w:w="0" w:type="dxa"/>
              <w:bottom w:w="0" w:type="dxa"/>
            </w:tcMar>
            <w:vAlign w:val="center"/>
          </w:tcPr>
          <w:p w14:paraId="029BA38B" w14:textId="77777777" w:rsidR="00680D31" w:rsidRDefault="00000000">
            <w:pPr>
              <w:keepNext/>
              <w:keepLines/>
              <w:spacing w:after="0" w:line="240" w:lineRule="auto"/>
              <w:jc w:val="right"/>
            </w:pPr>
            <w:r>
              <w:rPr>
                <w:sz w:val="18"/>
              </w:rPr>
              <w:t>-</w:t>
            </w:r>
          </w:p>
        </w:tc>
      </w:tr>
    </w:tbl>
    <w:p w14:paraId="022D7A0A" w14:textId="77777777" w:rsidR="00680D31" w:rsidRDefault="00680D31">
      <w:pPr>
        <w:spacing w:after="0"/>
      </w:pPr>
    </w:p>
    <w:p w14:paraId="25AF8077" w14:textId="77777777" w:rsidR="00680D31" w:rsidRDefault="00000000">
      <w:r>
        <w:t>U tekućem razdoblju primljen je račun za izradu glavnog projekta instalacija za uređenje novog prostora.</w:t>
      </w:r>
    </w:p>
    <w:p w14:paraId="58E01CDD" w14:textId="77777777" w:rsidR="00680D31" w:rsidRDefault="00680D31"/>
    <w:p w14:paraId="28C02DA4" w14:textId="77777777" w:rsidR="00680D31"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6CEC1D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A3C0DF"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2B121C"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2B9FA"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8584C3"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42F79E"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224CE2" w14:textId="77777777" w:rsidR="00680D31" w:rsidRDefault="00000000">
            <w:pPr>
              <w:keepNext/>
              <w:keepLines/>
              <w:spacing w:after="0" w:line="240" w:lineRule="auto"/>
              <w:jc w:val="center"/>
            </w:pPr>
            <w:r>
              <w:rPr>
                <w:b/>
                <w:sz w:val="18"/>
              </w:rPr>
              <w:t>Indeks (%)</w:t>
            </w:r>
          </w:p>
        </w:tc>
      </w:tr>
      <w:tr w:rsidR="00680D31" w14:paraId="4FB1E842" w14:textId="77777777">
        <w:tblPrEx>
          <w:tblCellMar>
            <w:top w:w="0" w:type="dxa"/>
            <w:bottom w:w="0" w:type="dxa"/>
          </w:tblCellMar>
        </w:tblPrEx>
        <w:trPr>
          <w:cantSplit/>
          <w:trHeight w:val="560"/>
        </w:trPr>
        <w:tc>
          <w:tcPr>
            <w:tcW w:w="700" w:type="dxa"/>
            <w:tcMar>
              <w:top w:w="0" w:type="dxa"/>
              <w:bottom w:w="0" w:type="dxa"/>
            </w:tcMar>
            <w:vAlign w:val="center"/>
          </w:tcPr>
          <w:p w14:paraId="3933543E" w14:textId="77777777" w:rsidR="00680D31" w:rsidRDefault="00000000">
            <w:pPr>
              <w:keepNext/>
              <w:keepLines/>
              <w:spacing w:after="0" w:line="240" w:lineRule="auto"/>
            </w:pPr>
            <w:r>
              <w:rPr>
                <w:sz w:val="18"/>
              </w:rPr>
              <w:t>451</w:t>
            </w:r>
          </w:p>
        </w:tc>
        <w:tc>
          <w:tcPr>
            <w:tcW w:w="3180" w:type="dxa"/>
            <w:tcMar>
              <w:top w:w="0" w:type="dxa"/>
              <w:bottom w:w="0" w:type="dxa"/>
            </w:tcMar>
            <w:vAlign w:val="center"/>
          </w:tcPr>
          <w:p w14:paraId="0133ABAA" w14:textId="77777777" w:rsidR="00680D31"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64D43C4" w14:textId="77777777" w:rsidR="00680D31" w:rsidRDefault="00000000">
            <w:pPr>
              <w:keepNext/>
              <w:keepLines/>
              <w:spacing w:after="0" w:line="240" w:lineRule="auto"/>
            </w:pPr>
            <w:r>
              <w:rPr>
                <w:sz w:val="18"/>
              </w:rPr>
              <w:t>451</w:t>
            </w:r>
          </w:p>
        </w:tc>
        <w:tc>
          <w:tcPr>
            <w:tcW w:w="1860" w:type="dxa"/>
            <w:tcMar>
              <w:top w:w="0" w:type="dxa"/>
              <w:bottom w:w="0" w:type="dxa"/>
            </w:tcMar>
            <w:vAlign w:val="center"/>
          </w:tcPr>
          <w:p w14:paraId="4D2D9A15" w14:textId="77777777" w:rsidR="00680D31" w:rsidRDefault="00000000">
            <w:pPr>
              <w:keepNext/>
              <w:keepLines/>
              <w:spacing w:after="0" w:line="240" w:lineRule="auto"/>
              <w:jc w:val="right"/>
            </w:pPr>
            <w:r>
              <w:rPr>
                <w:sz w:val="18"/>
              </w:rPr>
              <w:t>471.818,63</w:t>
            </w:r>
          </w:p>
        </w:tc>
        <w:tc>
          <w:tcPr>
            <w:tcW w:w="1860" w:type="dxa"/>
            <w:tcMar>
              <w:top w:w="0" w:type="dxa"/>
              <w:bottom w:w="0" w:type="dxa"/>
            </w:tcMar>
            <w:vAlign w:val="center"/>
          </w:tcPr>
          <w:p w14:paraId="697D01CD" w14:textId="77777777" w:rsidR="00680D31" w:rsidRDefault="00000000">
            <w:pPr>
              <w:keepNext/>
              <w:keepLines/>
              <w:spacing w:after="0" w:line="240" w:lineRule="auto"/>
              <w:jc w:val="right"/>
            </w:pPr>
            <w:r>
              <w:rPr>
                <w:sz w:val="18"/>
              </w:rPr>
              <w:t>184.976,07</w:t>
            </w:r>
          </w:p>
        </w:tc>
        <w:tc>
          <w:tcPr>
            <w:tcW w:w="700" w:type="dxa"/>
            <w:tcMar>
              <w:top w:w="0" w:type="dxa"/>
              <w:bottom w:w="0" w:type="dxa"/>
            </w:tcMar>
            <w:vAlign w:val="center"/>
          </w:tcPr>
          <w:p w14:paraId="7BBAFE12" w14:textId="77777777" w:rsidR="00680D31" w:rsidRDefault="00000000">
            <w:pPr>
              <w:keepNext/>
              <w:keepLines/>
              <w:spacing w:after="0" w:line="240" w:lineRule="auto"/>
              <w:jc w:val="right"/>
            </w:pPr>
            <w:r>
              <w:rPr>
                <w:sz w:val="18"/>
              </w:rPr>
              <w:t>39,2</w:t>
            </w:r>
          </w:p>
        </w:tc>
      </w:tr>
    </w:tbl>
    <w:p w14:paraId="7727FF38" w14:textId="77777777" w:rsidR="00680D31" w:rsidRDefault="00680D31">
      <w:pPr>
        <w:spacing w:after="0"/>
      </w:pPr>
    </w:p>
    <w:p w14:paraId="5476FFFA" w14:textId="77777777" w:rsidR="00680D31" w:rsidRDefault="00000000">
      <w:r>
        <w:t>U tekućem razdoblju manje je sredstava uloženo u adaptaciju zgrade što ovisi o dinamici izvršenja radova kroz 2 razdoblja.</w:t>
      </w:r>
    </w:p>
    <w:p w14:paraId="744704BD" w14:textId="77777777" w:rsidR="00680D31" w:rsidRDefault="00680D31"/>
    <w:p w14:paraId="638DCE94" w14:textId="77777777" w:rsidR="00680D31"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41E7C3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3AF0C9"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3433E0"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B6DE94"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85DB8A"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43F5B5"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35D98D" w14:textId="77777777" w:rsidR="00680D31" w:rsidRDefault="00000000">
            <w:pPr>
              <w:keepNext/>
              <w:keepLines/>
              <w:spacing w:after="0" w:line="240" w:lineRule="auto"/>
              <w:jc w:val="center"/>
            </w:pPr>
            <w:r>
              <w:rPr>
                <w:b/>
                <w:sz w:val="18"/>
              </w:rPr>
              <w:t>Indeks (%)</w:t>
            </w:r>
          </w:p>
        </w:tc>
      </w:tr>
      <w:tr w:rsidR="00680D31" w14:paraId="6D2AE8BF" w14:textId="77777777">
        <w:tblPrEx>
          <w:tblCellMar>
            <w:top w:w="0" w:type="dxa"/>
            <w:bottom w:w="0" w:type="dxa"/>
          </w:tblCellMar>
        </w:tblPrEx>
        <w:trPr>
          <w:cantSplit/>
          <w:trHeight w:val="560"/>
        </w:trPr>
        <w:tc>
          <w:tcPr>
            <w:tcW w:w="700" w:type="dxa"/>
            <w:tcMar>
              <w:top w:w="0" w:type="dxa"/>
              <w:bottom w:w="0" w:type="dxa"/>
            </w:tcMar>
            <w:vAlign w:val="center"/>
          </w:tcPr>
          <w:p w14:paraId="73541C6F" w14:textId="77777777" w:rsidR="00680D31" w:rsidRDefault="00000000">
            <w:pPr>
              <w:keepNext/>
              <w:keepLines/>
              <w:spacing w:after="0" w:line="240" w:lineRule="auto"/>
            </w:pPr>
            <w:r>
              <w:rPr>
                <w:sz w:val="18"/>
              </w:rPr>
              <w:t>32371</w:t>
            </w:r>
          </w:p>
        </w:tc>
        <w:tc>
          <w:tcPr>
            <w:tcW w:w="3180" w:type="dxa"/>
            <w:tcMar>
              <w:top w:w="0" w:type="dxa"/>
              <w:bottom w:w="0" w:type="dxa"/>
            </w:tcMar>
            <w:vAlign w:val="center"/>
          </w:tcPr>
          <w:p w14:paraId="7CD3B725" w14:textId="77777777" w:rsidR="00680D31" w:rsidRDefault="00000000">
            <w:pPr>
              <w:keepNext/>
              <w:keepLines/>
              <w:spacing w:after="0" w:line="240" w:lineRule="auto"/>
            </w:pPr>
            <w:r>
              <w:rPr>
                <w:sz w:val="18"/>
              </w:rPr>
              <w:t>Autorski honorari</w:t>
            </w:r>
          </w:p>
        </w:tc>
        <w:tc>
          <w:tcPr>
            <w:tcW w:w="700" w:type="dxa"/>
            <w:tcMar>
              <w:top w:w="0" w:type="dxa"/>
              <w:bottom w:w="0" w:type="dxa"/>
            </w:tcMar>
            <w:vAlign w:val="center"/>
          </w:tcPr>
          <w:p w14:paraId="61260B23" w14:textId="77777777" w:rsidR="00680D31" w:rsidRDefault="00000000">
            <w:pPr>
              <w:keepNext/>
              <w:keepLines/>
              <w:spacing w:after="0" w:line="240" w:lineRule="auto"/>
            </w:pPr>
            <w:r>
              <w:rPr>
                <w:sz w:val="18"/>
              </w:rPr>
              <w:t>32371</w:t>
            </w:r>
          </w:p>
        </w:tc>
        <w:tc>
          <w:tcPr>
            <w:tcW w:w="1860" w:type="dxa"/>
            <w:tcMar>
              <w:top w:w="0" w:type="dxa"/>
              <w:bottom w:w="0" w:type="dxa"/>
            </w:tcMar>
            <w:vAlign w:val="center"/>
          </w:tcPr>
          <w:p w14:paraId="0B8631EF" w14:textId="77777777" w:rsidR="00680D31" w:rsidRDefault="00000000">
            <w:pPr>
              <w:keepNext/>
              <w:keepLines/>
              <w:spacing w:after="0" w:line="240" w:lineRule="auto"/>
              <w:jc w:val="right"/>
            </w:pPr>
            <w:r>
              <w:rPr>
                <w:sz w:val="18"/>
              </w:rPr>
              <w:t>3.115,52</w:t>
            </w:r>
          </w:p>
        </w:tc>
        <w:tc>
          <w:tcPr>
            <w:tcW w:w="1860" w:type="dxa"/>
            <w:tcMar>
              <w:top w:w="0" w:type="dxa"/>
              <w:bottom w:w="0" w:type="dxa"/>
            </w:tcMar>
            <w:vAlign w:val="center"/>
          </w:tcPr>
          <w:p w14:paraId="363646BC" w14:textId="77777777" w:rsidR="00680D31" w:rsidRDefault="00000000">
            <w:pPr>
              <w:keepNext/>
              <w:keepLines/>
              <w:spacing w:after="0" w:line="240" w:lineRule="auto"/>
              <w:jc w:val="right"/>
            </w:pPr>
            <w:r>
              <w:rPr>
                <w:sz w:val="18"/>
              </w:rPr>
              <w:t>1.950,76</w:t>
            </w:r>
          </w:p>
        </w:tc>
        <w:tc>
          <w:tcPr>
            <w:tcW w:w="700" w:type="dxa"/>
            <w:tcMar>
              <w:top w:w="0" w:type="dxa"/>
              <w:bottom w:w="0" w:type="dxa"/>
            </w:tcMar>
            <w:vAlign w:val="center"/>
          </w:tcPr>
          <w:p w14:paraId="5B447AE1" w14:textId="77777777" w:rsidR="00680D31" w:rsidRDefault="00000000">
            <w:pPr>
              <w:keepNext/>
              <w:keepLines/>
              <w:spacing w:after="0" w:line="240" w:lineRule="auto"/>
              <w:jc w:val="right"/>
            </w:pPr>
            <w:r>
              <w:rPr>
                <w:sz w:val="18"/>
              </w:rPr>
              <w:t>62,6</w:t>
            </w:r>
          </w:p>
        </w:tc>
      </w:tr>
    </w:tbl>
    <w:p w14:paraId="222FCD84" w14:textId="77777777" w:rsidR="00680D31" w:rsidRDefault="00680D31">
      <w:pPr>
        <w:spacing w:after="0"/>
      </w:pPr>
    </w:p>
    <w:p w14:paraId="1EEC0A9C" w14:textId="77777777" w:rsidR="00680D31" w:rsidRDefault="00000000">
      <w:r>
        <w:t>U prethodnom razdoblju isplaćeno je više naknada za rad po autorskom ugovoru što ovisi o realiziranim aktivnostima i projektima.</w:t>
      </w:r>
    </w:p>
    <w:p w14:paraId="605FCB5A" w14:textId="77777777" w:rsidR="00680D31" w:rsidRDefault="00680D31"/>
    <w:p w14:paraId="56091CE0" w14:textId="77777777" w:rsidR="00680D31" w:rsidRDefault="00000000">
      <w:pPr>
        <w:keepNext/>
        <w:spacing w:line="240" w:lineRule="auto"/>
        <w:jc w:val="center"/>
      </w:pPr>
      <w:r>
        <w:rPr>
          <w:b/>
          <w:sz w:val="28"/>
        </w:rPr>
        <w:t>Bilanca</w:t>
      </w:r>
    </w:p>
    <w:p w14:paraId="36A5ADC5" w14:textId="77777777" w:rsidR="00680D31"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1B1DDF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0823BB"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4F6327"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9B74B5"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91DAB"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5401C2"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D46B1C" w14:textId="77777777" w:rsidR="00680D31" w:rsidRDefault="00000000">
            <w:pPr>
              <w:keepNext/>
              <w:keepLines/>
              <w:spacing w:after="0" w:line="240" w:lineRule="auto"/>
              <w:jc w:val="center"/>
            </w:pPr>
            <w:r>
              <w:rPr>
                <w:b/>
                <w:sz w:val="18"/>
              </w:rPr>
              <w:t>Indeks (%)</w:t>
            </w:r>
          </w:p>
        </w:tc>
      </w:tr>
      <w:tr w:rsidR="00680D31" w14:paraId="665A6908" w14:textId="77777777">
        <w:tblPrEx>
          <w:tblCellMar>
            <w:top w:w="0" w:type="dxa"/>
            <w:bottom w:w="0" w:type="dxa"/>
          </w:tblCellMar>
        </w:tblPrEx>
        <w:trPr>
          <w:cantSplit/>
          <w:trHeight w:val="560"/>
        </w:trPr>
        <w:tc>
          <w:tcPr>
            <w:tcW w:w="700" w:type="dxa"/>
            <w:tcMar>
              <w:top w:w="0" w:type="dxa"/>
              <w:bottom w:w="0" w:type="dxa"/>
            </w:tcMar>
            <w:vAlign w:val="center"/>
          </w:tcPr>
          <w:p w14:paraId="642436E6" w14:textId="77777777" w:rsidR="00680D31" w:rsidRDefault="00000000">
            <w:pPr>
              <w:keepNext/>
              <w:keepLines/>
              <w:spacing w:after="0" w:line="240" w:lineRule="auto"/>
            </w:pPr>
            <w:r>
              <w:rPr>
                <w:sz w:val="18"/>
              </w:rPr>
              <w:t>0264</w:t>
            </w:r>
          </w:p>
        </w:tc>
        <w:tc>
          <w:tcPr>
            <w:tcW w:w="3180" w:type="dxa"/>
            <w:tcMar>
              <w:top w:w="0" w:type="dxa"/>
              <w:bottom w:w="0" w:type="dxa"/>
            </w:tcMar>
            <w:vAlign w:val="center"/>
          </w:tcPr>
          <w:p w14:paraId="5C5B1169" w14:textId="77777777" w:rsidR="00680D31"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2CB7CCA7" w14:textId="77777777" w:rsidR="00680D31" w:rsidRDefault="00000000">
            <w:pPr>
              <w:keepNext/>
              <w:keepLines/>
              <w:spacing w:after="0" w:line="240" w:lineRule="auto"/>
            </w:pPr>
            <w:r>
              <w:rPr>
                <w:sz w:val="18"/>
              </w:rPr>
              <w:t>0264</w:t>
            </w:r>
          </w:p>
        </w:tc>
        <w:tc>
          <w:tcPr>
            <w:tcW w:w="1860" w:type="dxa"/>
            <w:tcMar>
              <w:top w:w="0" w:type="dxa"/>
              <w:bottom w:w="0" w:type="dxa"/>
            </w:tcMar>
            <w:vAlign w:val="center"/>
          </w:tcPr>
          <w:p w14:paraId="2232DE8A" w14:textId="77777777" w:rsidR="00680D31" w:rsidRDefault="00000000">
            <w:pPr>
              <w:keepNext/>
              <w:keepLines/>
              <w:spacing w:after="0" w:line="240" w:lineRule="auto"/>
              <w:jc w:val="right"/>
            </w:pPr>
            <w:r>
              <w:rPr>
                <w:sz w:val="18"/>
              </w:rPr>
              <w:t>8.396,71</w:t>
            </w:r>
          </w:p>
        </w:tc>
        <w:tc>
          <w:tcPr>
            <w:tcW w:w="1860" w:type="dxa"/>
            <w:tcMar>
              <w:top w:w="0" w:type="dxa"/>
              <w:bottom w:w="0" w:type="dxa"/>
            </w:tcMar>
            <w:vAlign w:val="center"/>
          </w:tcPr>
          <w:p w14:paraId="14900CA2" w14:textId="77777777" w:rsidR="00680D31" w:rsidRDefault="00000000">
            <w:pPr>
              <w:keepNext/>
              <w:keepLines/>
              <w:spacing w:after="0" w:line="240" w:lineRule="auto"/>
              <w:jc w:val="right"/>
            </w:pPr>
            <w:r>
              <w:rPr>
                <w:sz w:val="18"/>
              </w:rPr>
              <w:t>16.646,71</w:t>
            </w:r>
          </w:p>
        </w:tc>
        <w:tc>
          <w:tcPr>
            <w:tcW w:w="700" w:type="dxa"/>
            <w:tcMar>
              <w:top w:w="0" w:type="dxa"/>
              <w:bottom w:w="0" w:type="dxa"/>
            </w:tcMar>
            <w:vAlign w:val="center"/>
          </w:tcPr>
          <w:p w14:paraId="754154AD" w14:textId="77777777" w:rsidR="00680D31" w:rsidRDefault="00000000">
            <w:pPr>
              <w:keepNext/>
              <w:keepLines/>
              <w:spacing w:after="0" w:line="240" w:lineRule="auto"/>
              <w:jc w:val="right"/>
            </w:pPr>
            <w:r>
              <w:rPr>
                <w:sz w:val="18"/>
              </w:rPr>
              <w:t>198,3</w:t>
            </w:r>
          </w:p>
        </w:tc>
      </w:tr>
    </w:tbl>
    <w:p w14:paraId="357C3F3C" w14:textId="77777777" w:rsidR="00680D31" w:rsidRDefault="00680D31">
      <w:pPr>
        <w:spacing w:after="0"/>
      </w:pPr>
    </w:p>
    <w:p w14:paraId="7A92A6C7" w14:textId="77777777" w:rsidR="00680D31" w:rsidRDefault="00000000">
      <w:r>
        <w:t>U tekućem razdoblju nabavljena je projektna dokumentacija za glavni projekt instalacija za uređenje novog prostora.</w:t>
      </w:r>
    </w:p>
    <w:p w14:paraId="67151328" w14:textId="77777777" w:rsidR="00680D31" w:rsidRDefault="00680D31"/>
    <w:p w14:paraId="2E8CD0E8" w14:textId="77777777" w:rsidR="00680D31"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3FF18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3712EB"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DDBBE1"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D7FFA"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A38079"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8475F4"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ADDCDF" w14:textId="77777777" w:rsidR="00680D31" w:rsidRDefault="00000000">
            <w:pPr>
              <w:keepNext/>
              <w:keepLines/>
              <w:spacing w:after="0" w:line="240" w:lineRule="auto"/>
              <w:jc w:val="center"/>
            </w:pPr>
            <w:r>
              <w:rPr>
                <w:b/>
                <w:sz w:val="18"/>
              </w:rPr>
              <w:t>Indeks (%)</w:t>
            </w:r>
          </w:p>
        </w:tc>
      </w:tr>
      <w:tr w:rsidR="00680D31" w14:paraId="651B9A34" w14:textId="77777777">
        <w:tblPrEx>
          <w:tblCellMar>
            <w:top w:w="0" w:type="dxa"/>
            <w:bottom w:w="0" w:type="dxa"/>
          </w:tblCellMar>
        </w:tblPrEx>
        <w:trPr>
          <w:cantSplit/>
          <w:trHeight w:val="560"/>
        </w:trPr>
        <w:tc>
          <w:tcPr>
            <w:tcW w:w="700" w:type="dxa"/>
            <w:tcMar>
              <w:top w:w="0" w:type="dxa"/>
              <w:bottom w:w="0" w:type="dxa"/>
            </w:tcMar>
            <w:vAlign w:val="center"/>
          </w:tcPr>
          <w:p w14:paraId="0C5E96C6" w14:textId="77777777" w:rsidR="00680D31" w:rsidRDefault="00000000">
            <w:pPr>
              <w:keepNext/>
              <w:keepLines/>
              <w:spacing w:after="0" w:line="240" w:lineRule="auto"/>
            </w:pPr>
            <w:r>
              <w:rPr>
                <w:sz w:val="18"/>
              </w:rPr>
              <w:t>051</w:t>
            </w:r>
          </w:p>
        </w:tc>
        <w:tc>
          <w:tcPr>
            <w:tcW w:w="3180" w:type="dxa"/>
            <w:tcMar>
              <w:top w:w="0" w:type="dxa"/>
              <w:bottom w:w="0" w:type="dxa"/>
            </w:tcMar>
            <w:vAlign w:val="center"/>
          </w:tcPr>
          <w:p w14:paraId="23CAD577" w14:textId="77777777" w:rsidR="00680D31"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376BFE2A" w14:textId="77777777" w:rsidR="00680D31" w:rsidRDefault="00000000">
            <w:pPr>
              <w:keepNext/>
              <w:keepLines/>
              <w:spacing w:after="0" w:line="240" w:lineRule="auto"/>
            </w:pPr>
            <w:r>
              <w:rPr>
                <w:sz w:val="18"/>
              </w:rPr>
              <w:t>051</w:t>
            </w:r>
          </w:p>
        </w:tc>
        <w:tc>
          <w:tcPr>
            <w:tcW w:w="1860" w:type="dxa"/>
            <w:tcMar>
              <w:top w:w="0" w:type="dxa"/>
              <w:bottom w:w="0" w:type="dxa"/>
            </w:tcMar>
            <w:vAlign w:val="center"/>
          </w:tcPr>
          <w:p w14:paraId="4502531F" w14:textId="77777777" w:rsidR="00680D31" w:rsidRDefault="00000000">
            <w:pPr>
              <w:keepNext/>
              <w:keepLines/>
              <w:spacing w:after="0" w:line="240" w:lineRule="auto"/>
              <w:jc w:val="right"/>
            </w:pPr>
            <w:r>
              <w:rPr>
                <w:sz w:val="18"/>
              </w:rPr>
              <w:t>471.818,63</w:t>
            </w:r>
          </w:p>
        </w:tc>
        <w:tc>
          <w:tcPr>
            <w:tcW w:w="1860" w:type="dxa"/>
            <w:tcMar>
              <w:top w:w="0" w:type="dxa"/>
              <w:bottom w:w="0" w:type="dxa"/>
            </w:tcMar>
            <w:vAlign w:val="center"/>
          </w:tcPr>
          <w:p w14:paraId="053B9924" w14:textId="77777777" w:rsidR="00680D31" w:rsidRDefault="00000000">
            <w:pPr>
              <w:keepNext/>
              <w:keepLines/>
              <w:spacing w:after="0" w:line="240" w:lineRule="auto"/>
              <w:jc w:val="right"/>
            </w:pPr>
            <w:r>
              <w:rPr>
                <w:sz w:val="18"/>
              </w:rPr>
              <w:t>656.572,82</w:t>
            </w:r>
          </w:p>
        </w:tc>
        <w:tc>
          <w:tcPr>
            <w:tcW w:w="700" w:type="dxa"/>
            <w:tcMar>
              <w:top w:w="0" w:type="dxa"/>
              <w:bottom w:w="0" w:type="dxa"/>
            </w:tcMar>
            <w:vAlign w:val="center"/>
          </w:tcPr>
          <w:p w14:paraId="5A6EBB7D" w14:textId="77777777" w:rsidR="00680D31" w:rsidRDefault="00000000">
            <w:pPr>
              <w:keepNext/>
              <w:keepLines/>
              <w:spacing w:after="0" w:line="240" w:lineRule="auto"/>
              <w:jc w:val="right"/>
            </w:pPr>
            <w:r>
              <w:rPr>
                <w:sz w:val="18"/>
              </w:rPr>
              <w:t>139,2</w:t>
            </w:r>
          </w:p>
        </w:tc>
      </w:tr>
    </w:tbl>
    <w:p w14:paraId="6EF79707" w14:textId="77777777" w:rsidR="00680D31" w:rsidRDefault="00680D31">
      <w:pPr>
        <w:spacing w:after="0"/>
      </w:pPr>
    </w:p>
    <w:p w14:paraId="2B69D517" w14:textId="77777777" w:rsidR="00680D31" w:rsidRDefault="00000000">
      <w:r>
        <w:t>Primljeni su računi za građevinske radove vezano uz obnovu zgrade.</w:t>
      </w:r>
    </w:p>
    <w:p w14:paraId="16209C6A" w14:textId="77777777" w:rsidR="00680D31" w:rsidRDefault="00680D31"/>
    <w:p w14:paraId="7C1D45CD" w14:textId="77777777" w:rsidR="00680D31"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6ADB2E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0BCBA0"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8F803C"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373FBB"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94E324"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DACB5A"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B7E50F" w14:textId="77777777" w:rsidR="00680D31" w:rsidRDefault="00000000">
            <w:pPr>
              <w:keepNext/>
              <w:keepLines/>
              <w:spacing w:after="0" w:line="240" w:lineRule="auto"/>
              <w:jc w:val="center"/>
            </w:pPr>
            <w:r>
              <w:rPr>
                <w:b/>
                <w:sz w:val="18"/>
              </w:rPr>
              <w:t>Indeks (%)</w:t>
            </w:r>
          </w:p>
        </w:tc>
      </w:tr>
      <w:tr w:rsidR="00680D31" w14:paraId="21417D93" w14:textId="77777777">
        <w:tblPrEx>
          <w:tblCellMar>
            <w:top w:w="0" w:type="dxa"/>
            <w:bottom w:w="0" w:type="dxa"/>
          </w:tblCellMar>
        </w:tblPrEx>
        <w:trPr>
          <w:cantSplit/>
          <w:trHeight w:val="560"/>
        </w:trPr>
        <w:tc>
          <w:tcPr>
            <w:tcW w:w="700" w:type="dxa"/>
            <w:tcMar>
              <w:top w:w="0" w:type="dxa"/>
              <w:bottom w:w="0" w:type="dxa"/>
            </w:tcMar>
            <w:vAlign w:val="center"/>
          </w:tcPr>
          <w:p w14:paraId="7584FB2E" w14:textId="77777777" w:rsidR="00680D31" w:rsidRDefault="00000000">
            <w:pPr>
              <w:keepNext/>
              <w:keepLines/>
              <w:spacing w:after="0" w:line="240" w:lineRule="auto"/>
            </w:pPr>
            <w:r>
              <w:rPr>
                <w:sz w:val="18"/>
              </w:rPr>
              <w:t>11</w:t>
            </w:r>
          </w:p>
        </w:tc>
        <w:tc>
          <w:tcPr>
            <w:tcW w:w="3180" w:type="dxa"/>
            <w:tcMar>
              <w:top w:w="0" w:type="dxa"/>
              <w:bottom w:w="0" w:type="dxa"/>
            </w:tcMar>
            <w:vAlign w:val="center"/>
          </w:tcPr>
          <w:p w14:paraId="09A4FC3D" w14:textId="77777777" w:rsidR="00680D31"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196D72A0" w14:textId="77777777" w:rsidR="00680D31" w:rsidRDefault="00000000">
            <w:pPr>
              <w:keepNext/>
              <w:keepLines/>
              <w:spacing w:after="0" w:line="240" w:lineRule="auto"/>
            </w:pPr>
            <w:r>
              <w:rPr>
                <w:sz w:val="18"/>
              </w:rPr>
              <w:t>11</w:t>
            </w:r>
          </w:p>
        </w:tc>
        <w:tc>
          <w:tcPr>
            <w:tcW w:w="1860" w:type="dxa"/>
            <w:tcMar>
              <w:top w:w="0" w:type="dxa"/>
              <w:bottom w:w="0" w:type="dxa"/>
            </w:tcMar>
            <w:vAlign w:val="center"/>
          </w:tcPr>
          <w:p w14:paraId="16D31C06"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3BE6D8FD" w14:textId="77777777" w:rsidR="00680D31" w:rsidRDefault="00000000">
            <w:pPr>
              <w:keepNext/>
              <w:keepLines/>
              <w:spacing w:after="0" w:line="240" w:lineRule="auto"/>
              <w:jc w:val="right"/>
            </w:pPr>
            <w:r>
              <w:rPr>
                <w:sz w:val="18"/>
              </w:rPr>
              <w:t>0,00</w:t>
            </w:r>
          </w:p>
        </w:tc>
        <w:tc>
          <w:tcPr>
            <w:tcW w:w="700" w:type="dxa"/>
            <w:tcMar>
              <w:top w:w="0" w:type="dxa"/>
              <w:bottom w:w="0" w:type="dxa"/>
            </w:tcMar>
            <w:vAlign w:val="center"/>
          </w:tcPr>
          <w:p w14:paraId="221F2E57" w14:textId="77777777" w:rsidR="00680D31" w:rsidRDefault="00000000">
            <w:pPr>
              <w:keepNext/>
              <w:keepLines/>
              <w:spacing w:after="0" w:line="240" w:lineRule="auto"/>
              <w:jc w:val="right"/>
            </w:pPr>
            <w:r>
              <w:rPr>
                <w:sz w:val="18"/>
              </w:rPr>
              <w:t>-</w:t>
            </w:r>
          </w:p>
        </w:tc>
      </w:tr>
    </w:tbl>
    <w:p w14:paraId="687B2C31" w14:textId="77777777" w:rsidR="00680D31" w:rsidRDefault="00680D31">
      <w:pPr>
        <w:spacing w:after="0"/>
      </w:pPr>
    </w:p>
    <w:p w14:paraId="585B520E" w14:textId="77777777" w:rsidR="00680D31" w:rsidRDefault="00000000">
      <w:r>
        <w:t>Knjižnica i čitaonica Kutina nema vlastiti žiro račun već posluje preko sustava riznice Grada Kutine.</w:t>
      </w:r>
    </w:p>
    <w:p w14:paraId="4267BF66" w14:textId="77777777" w:rsidR="00680D31" w:rsidRDefault="00680D31"/>
    <w:p w14:paraId="21267D81" w14:textId="77777777" w:rsidR="00680D31"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E14EC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A98259"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FA6AEB"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E4AA5D"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88853"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42D07D"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451A75" w14:textId="77777777" w:rsidR="00680D31" w:rsidRDefault="00000000">
            <w:pPr>
              <w:keepNext/>
              <w:keepLines/>
              <w:spacing w:after="0" w:line="240" w:lineRule="auto"/>
              <w:jc w:val="center"/>
            </w:pPr>
            <w:r>
              <w:rPr>
                <w:b/>
                <w:sz w:val="18"/>
              </w:rPr>
              <w:t>Indeks (%)</w:t>
            </w:r>
          </w:p>
        </w:tc>
      </w:tr>
      <w:tr w:rsidR="00680D31" w14:paraId="57F3EEC9" w14:textId="77777777">
        <w:tblPrEx>
          <w:tblCellMar>
            <w:top w:w="0" w:type="dxa"/>
            <w:bottom w:w="0" w:type="dxa"/>
          </w:tblCellMar>
        </w:tblPrEx>
        <w:trPr>
          <w:cantSplit/>
          <w:trHeight w:val="560"/>
        </w:trPr>
        <w:tc>
          <w:tcPr>
            <w:tcW w:w="700" w:type="dxa"/>
            <w:tcMar>
              <w:top w:w="0" w:type="dxa"/>
              <w:bottom w:w="0" w:type="dxa"/>
            </w:tcMar>
            <w:vAlign w:val="center"/>
          </w:tcPr>
          <w:p w14:paraId="43C37BDE" w14:textId="77777777" w:rsidR="00680D31" w:rsidRDefault="00000000">
            <w:pPr>
              <w:keepNext/>
              <w:keepLines/>
              <w:spacing w:after="0" w:line="240" w:lineRule="auto"/>
            </w:pPr>
            <w:r>
              <w:rPr>
                <w:sz w:val="18"/>
              </w:rPr>
              <w:t>167</w:t>
            </w:r>
          </w:p>
        </w:tc>
        <w:tc>
          <w:tcPr>
            <w:tcW w:w="3180" w:type="dxa"/>
            <w:tcMar>
              <w:top w:w="0" w:type="dxa"/>
              <w:bottom w:w="0" w:type="dxa"/>
            </w:tcMar>
            <w:vAlign w:val="center"/>
          </w:tcPr>
          <w:p w14:paraId="3D73D8A7" w14:textId="77777777" w:rsidR="00680D31"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204B52D1" w14:textId="77777777" w:rsidR="00680D31" w:rsidRDefault="00000000">
            <w:pPr>
              <w:keepNext/>
              <w:keepLines/>
              <w:spacing w:after="0" w:line="240" w:lineRule="auto"/>
            </w:pPr>
            <w:r>
              <w:rPr>
                <w:sz w:val="18"/>
              </w:rPr>
              <w:t>167</w:t>
            </w:r>
          </w:p>
        </w:tc>
        <w:tc>
          <w:tcPr>
            <w:tcW w:w="1860" w:type="dxa"/>
            <w:tcMar>
              <w:top w:w="0" w:type="dxa"/>
              <w:bottom w:w="0" w:type="dxa"/>
            </w:tcMar>
            <w:vAlign w:val="center"/>
          </w:tcPr>
          <w:p w14:paraId="04B4CEBB" w14:textId="77777777" w:rsidR="00680D31" w:rsidRDefault="00000000">
            <w:pPr>
              <w:keepNext/>
              <w:keepLines/>
              <w:spacing w:after="0" w:line="240" w:lineRule="auto"/>
              <w:jc w:val="right"/>
            </w:pPr>
            <w:r>
              <w:rPr>
                <w:sz w:val="18"/>
              </w:rPr>
              <w:t>6.013,65</w:t>
            </w:r>
          </w:p>
        </w:tc>
        <w:tc>
          <w:tcPr>
            <w:tcW w:w="1860" w:type="dxa"/>
            <w:tcMar>
              <w:top w:w="0" w:type="dxa"/>
              <w:bottom w:w="0" w:type="dxa"/>
            </w:tcMar>
            <w:vAlign w:val="center"/>
          </w:tcPr>
          <w:p w14:paraId="276B9541" w14:textId="77777777" w:rsidR="00680D31" w:rsidRDefault="00000000">
            <w:pPr>
              <w:keepNext/>
              <w:keepLines/>
              <w:spacing w:after="0" w:line="240" w:lineRule="auto"/>
              <w:jc w:val="right"/>
            </w:pPr>
            <w:r>
              <w:rPr>
                <w:sz w:val="18"/>
              </w:rPr>
              <w:t>25.701,80</w:t>
            </w:r>
          </w:p>
        </w:tc>
        <w:tc>
          <w:tcPr>
            <w:tcW w:w="700" w:type="dxa"/>
            <w:tcMar>
              <w:top w:w="0" w:type="dxa"/>
              <w:bottom w:w="0" w:type="dxa"/>
            </w:tcMar>
            <w:vAlign w:val="center"/>
          </w:tcPr>
          <w:p w14:paraId="6549B6BA" w14:textId="77777777" w:rsidR="00680D31" w:rsidRDefault="00000000">
            <w:pPr>
              <w:keepNext/>
              <w:keepLines/>
              <w:spacing w:after="0" w:line="240" w:lineRule="auto"/>
              <w:jc w:val="right"/>
            </w:pPr>
            <w:r>
              <w:rPr>
                <w:sz w:val="18"/>
              </w:rPr>
              <w:t>427,4</w:t>
            </w:r>
          </w:p>
        </w:tc>
      </w:tr>
    </w:tbl>
    <w:p w14:paraId="441C8077" w14:textId="77777777" w:rsidR="00680D31" w:rsidRDefault="00680D31">
      <w:pPr>
        <w:spacing w:after="0"/>
      </w:pPr>
    </w:p>
    <w:p w14:paraId="14794135" w14:textId="77777777" w:rsidR="00680D31" w:rsidRDefault="00000000">
      <w:r>
        <w:t>Potraživanja za prihode proračunskih korisnika uplaćene u proračun (konto 167210) se povećavaju (u 2025. god. veće su neplaćene obveze iz vlastitih prihoda i pomoći).      </w:t>
      </w:r>
    </w:p>
    <w:p w14:paraId="0AC737EB" w14:textId="77777777" w:rsidR="00680D31" w:rsidRDefault="00680D31"/>
    <w:p w14:paraId="17B8E58D" w14:textId="77777777" w:rsidR="00680D31"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5C4A4B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4B0806"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7F91B0"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50007"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DEE662"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390F46"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0BC9D2" w14:textId="77777777" w:rsidR="00680D31" w:rsidRDefault="00000000">
            <w:pPr>
              <w:keepNext/>
              <w:keepLines/>
              <w:spacing w:after="0" w:line="240" w:lineRule="auto"/>
              <w:jc w:val="center"/>
            </w:pPr>
            <w:r>
              <w:rPr>
                <w:b/>
                <w:sz w:val="18"/>
              </w:rPr>
              <w:t>Indeks (%)</w:t>
            </w:r>
          </w:p>
        </w:tc>
      </w:tr>
      <w:tr w:rsidR="00680D31" w14:paraId="43F1AEE7" w14:textId="77777777">
        <w:tblPrEx>
          <w:tblCellMar>
            <w:top w:w="0" w:type="dxa"/>
            <w:bottom w:w="0" w:type="dxa"/>
          </w:tblCellMar>
        </w:tblPrEx>
        <w:trPr>
          <w:cantSplit/>
          <w:trHeight w:val="560"/>
        </w:trPr>
        <w:tc>
          <w:tcPr>
            <w:tcW w:w="700" w:type="dxa"/>
            <w:tcMar>
              <w:top w:w="0" w:type="dxa"/>
              <w:bottom w:w="0" w:type="dxa"/>
            </w:tcMar>
            <w:vAlign w:val="center"/>
          </w:tcPr>
          <w:p w14:paraId="293FD2B5" w14:textId="77777777" w:rsidR="00680D31" w:rsidRDefault="00000000">
            <w:pPr>
              <w:keepNext/>
              <w:keepLines/>
              <w:spacing w:after="0" w:line="240" w:lineRule="auto"/>
            </w:pPr>
            <w:r>
              <w:rPr>
                <w:sz w:val="18"/>
              </w:rPr>
              <w:t>191</w:t>
            </w:r>
          </w:p>
        </w:tc>
        <w:tc>
          <w:tcPr>
            <w:tcW w:w="3180" w:type="dxa"/>
            <w:tcMar>
              <w:top w:w="0" w:type="dxa"/>
              <w:bottom w:w="0" w:type="dxa"/>
            </w:tcMar>
            <w:vAlign w:val="center"/>
          </w:tcPr>
          <w:p w14:paraId="108335BC" w14:textId="77777777" w:rsidR="00680D31" w:rsidRDefault="00000000">
            <w:pPr>
              <w:keepNext/>
              <w:keepLines/>
              <w:spacing w:after="0" w:line="240" w:lineRule="auto"/>
            </w:pPr>
            <w:r>
              <w:rPr>
                <w:sz w:val="18"/>
              </w:rPr>
              <w:t>Rashodi budućih razdoblja</w:t>
            </w:r>
          </w:p>
        </w:tc>
        <w:tc>
          <w:tcPr>
            <w:tcW w:w="700" w:type="dxa"/>
            <w:tcMar>
              <w:top w:w="0" w:type="dxa"/>
              <w:bottom w:w="0" w:type="dxa"/>
            </w:tcMar>
            <w:vAlign w:val="center"/>
          </w:tcPr>
          <w:p w14:paraId="14B127D2" w14:textId="77777777" w:rsidR="00680D31" w:rsidRDefault="00000000">
            <w:pPr>
              <w:keepNext/>
              <w:keepLines/>
              <w:spacing w:after="0" w:line="240" w:lineRule="auto"/>
            </w:pPr>
            <w:r>
              <w:rPr>
                <w:sz w:val="18"/>
              </w:rPr>
              <w:t>191</w:t>
            </w:r>
          </w:p>
        </w:tc>
        <w:tc>
          <w:tcPr>
            <w:tcW w:w="1860" w:type="dxa"/>
            <w:tcMar>
              <w:top w:w="0" w:type="dxa"/>
              <w:bottom w:w="0" w:type="dxa"/>
            </w:tcMar>
            <w:vAlign w:val="center"/>
          </w:tcPr>
          <w:p w14:paraId="6B515171"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29AE580F" w14:textId="77777777" w:rsidR="00680D31" w:rsidRDefault="00000000">
            <w:pPr>
              <w:keepNext/>
              <w:keepLines/>
              <w:spacing w:after="0" w:line="240" w:lineRule="auto"/>
              <w:jc w:val="right"/>
            </w:pPr>
            <w:r>
              <w:rPr>
                <w:sz w:val="18"/>
              </w:rPr>
              <w:t>30,00</w:t>
            </w:r>
          </w:p>
        </w:tc>
        <w:tc>
          <w:tcPr>
            <w:tcW w:w="700" w:type="dxa"/>
            <w:tcMar>
              <w:top w:w="0" w:type="dxa"/>
              <w:bottom w:w="0" w:type="dxa"/>
            </w:tcMar>
            <w:vAlign w:val="center"/>
          </w:tcPr>
          <w:p w14:paraId="2075029B" w14:textId="77777777" w:rsidR="00680D31" w:rsidRDefault="00000000">
            <w:pPr>
              <w:keepNext/>
              <w:keepLines/>
              <w:spacing w:after="0" w:line="240" w:lineRule="auto"/>
              <w:jc w:val="right"/>
            </w:pPr>
            <w:r>
              <w:rPr>
                <w:sz w:val="18"/>
              </w:rPr>
              <w:t>-</w:t>
            </w:r>
          </w:p>
        </w:tc>
      </w:tr>
    </w:tbl>
    <w:p w14:paraId="29CFAF68" w14:textId="77777777" w:rsidR="00680D31" w:rsidRDefault="00680D31">
      <w:pPr>
        <w:spacing w:after="0"/>
      </w:pPr>
    </w:p>
    <w:p w14:paraId="1F88FA4E" w14:textId="77777777" w:rsidR="00680D31" w:rsidRDefault="00000000">
      <w:r>
        <w:t>Odnosi se na rashode budućeg razdoblja- pretplata za literaturu za 2026. god.</w:t>
      </w:r>
    </w:p>
    <w:p w14:paraId="64F74DC9" w14:textId="77777777" w:rsidR="00680D31" w:rsidRDefault="00680D31"/>
    <w:p w14:paraId="7E7014D9" w14:textId="77777777" w:rsidR="00680D31"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130708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DCBA33"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E009A0"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E0375"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379285"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FCCB42"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0EA619" w14:textId="77777777" w:rsidR="00680D31" w:rsidRDefault="00000000">
            <w:pPr>
              <w:keepNext/>
              <w:keepLines/>
              <w:spacing w:after="0" w:line="240" w:lineRule="auto"/>
              <w:jc w:val="center"/>
            </w:pPr>
            <w:r>
              <w:rPr>
                <w:b/>
                <w:sz w:val="18"/>
              </w:rPr>
              <w:t>Indeks (%)</w:t>
            </w:r>
          </w:p>
        </w:tc>
      </w:tr>
      <w:tr w:rsidR="00680D31" w14:paraId="23475EDC" w14:textId="77777777">
        <w:tblPrEx>
          <w:tblCellMar>
            <w:top w:w="0" w:type="dxa"/>
            <w:bottom w:w="0" w:type="dxa"/>
          </w:tblCellMar>
        </w:tblPrEx>
        <w:trPr>
          <w:cantSplit/>
          <w:trHeight w:val="560"/>
        </w:trPr>
        <w:tc>
          <w:tcPr>
            <w:tcW w:w="700" w:type="dxa"/>
            <w:tcMar>
              <w:top w:w="0" w:type="dxa"/>
              <w:bottom w:w="0" w:type="dxa"/>
            </w:tcMar>
            <w:vAlign w:val="center"/>
          </w:tcPr>
          <w:p w14:paraId="0FDD838C" w14:textId="77777777" w:rsidR="00680D31" w:rsidRDefault="00000000">
            <w:pPr>
              <w:keepNext/>
              <w:keepLines/>
              <w:spacing w:after="0" w:line="240" w:lineRule="auto"/>
            </w:pPr>
            <w:r>
              <w:rPr>
                <w:sz w:val="18"/>
              </w:rPr>
              <w:t>231</w:t>
            </w:r>
          </w:p>
        </w:tc>
        <w:tc>
          <w:tcPr>
            <w:tcW w:w="3180" w:type="dxa"/>
            <w:tcMar>
              <w:top w:w="0" w:type="dxa"/>
              <w:bottom w:w="0" w:type="dxa"/>
            </w:tcMar>
            <w:vAlign w:val="center"/>
          </w:tcPr>
          <w:p w14:paraId="400C470F" w14:textId="77777777" w:rsidR="00680D31" w:rsidRDefault="00000000">
            <w:pPr>
              <w:keepNext/>
              <w:keepLines/>
              <w:spacing w:after="0" w:line="240" w:lineRule="auto"/>
            </w:pPr>
            <w:r>
              <w:rPr>
                <w:sz w:val="18"/>
              </w:rPr>
              <w:t>Obveze za zaposlene</w:t>
            </w:r>
          </w:p>
        </w:tc>
        <w:tc>
          <w:tcPr>
            <w:tcW w:w="700" w:type="dxa"/>
            <w:tcMar>
              <w:top w:w="0" w:type="dxa"/>
              <w:bottom w:w="0" w:type="dxa"/>
            </w:tcMar>
            <w:vAlign w:val="center"/>
          </w:tcPr>
          <w:p w14:paraId="320EE2F1" w14:textId="77777777" w:rsidR="00680D31" w:rsidRDefault="00000000">
            <w:pPr>
              <w:keepNext/>
              <w:keepLines/>
              <w:spacing w:after="0" w:line="240" w:lineRule="auto"/>
            </w:pPr>
            <w:r>
              <w:rPr>
                <w:sz w:val="18"/>
              </w:rPr>
              <w:t>231</w:t>
            </w:r>
          </w:p>
        </w:tc>
        <w:tc>
          <w:tcPr>
            <w:tcW w:w="1860" w:type="dxa"/>
            <w:tcMar>
              <w:top w:w="0" w:type="dxa"/>
              <w:bottom w:w="0" w:type="dxa"/>
            </w:tcMar>
            <w:vAlign w:val="center"/>
          </w:tcPr>
          <w:p w14:paraId="0024FEE3" w14:textId="77777777" w:rsidR="00680D31" w:rsidRDefault="00000000">
            <w:pPr>
              <w:keepNext/>
              <w:keepLines/>
              <w:spacing w:after="0" w:line="240" w:lineRule="auto"/>
              <w:jc w:val="right"/>
            </w:pPr>
            <w:r>
              <w:rPr>
                <w:sz w:val="18"/>
              </w:rPr>
              <w:t>11.355,68</w:t>
            </w:r>
          </w:p>
        </w:tc>
        <w:tc>
          <w:tcPr>
            <w:tcW w:w="1860" w:type="dxa"/>
            <w:tcMar>
              <w:top w:w="0" w:type="dxa"/>
              <w:bottom w:w="0" w:type="dxa"/>
            </w:tcMar>
            <w:vAlign w:val="center"/>
          </w:tcPr>
          <w:p w14:paraId="2652FAF2" w14:textId="77777777" w:rsidR="00680D31" w:rsidRDefault="00000000">
            <w:pPr>
              <w:keepNext/>
              <w:keepLines/>
              <w:spacing w:after="0" w:line="240" w:lineRule="auto"/>
              <w:jc w:val="right"/>
            </w:pPr>
            <w:r>
              <w:rPr>
                <w:sz w:val="18"/>
              </w:rPr>
              <w:t>14.716,54</w:t>
            </w:r>
          </w:p>
        </w:tc>
        <w:tc>
          <w:tcPr>
            <w:tcW w:w="700" w:type="dxa"/>
            <w:tcMar>
              <w:top w:w="0" w:type="dxa"/>
              <w:bottom w:w="0" w:type="dxa"/>
            </w:tcMar>
            <w:vAlign w:val="center"/>
          </w:tcPr>
          <w:p w14:paraId="5871DD65" w14:textId="77777777" w:rsidR="00680D31" w:rsidRDefault="00000000">
            <w:pPr>
              <w:keepNext/>
              <w:keepLines/>
              <w:spacing w:after="0" w:line="240" w:lineRule="auto"/>
              <w:jc w:val="right"/>
            </w:pPr>
            <w:r>
              <w:rPr>
                <w:sz w:val="18"/>
              </w:rPr>
              <w:t>129,6</w:t>
            </w:r>
          </w:p>
        </w:tc>
      </w:tr>
    </w:tbl>
    <w:p w14:paraId="040ED85F" w14:textId="77777777" w:rsidR="00680D31" w:rsidRDefault="00680D31">
      <w:pPr>
        <w:spacing w:after="0"/>
      </w:pPr>
    </w:p>
    <w:p w14:paraId="488F5BB3" w14:textId="77777777" w:rsidR="00680D31" w:rsidRDefault="00000000">
      <w:r>
        <w:t>Sukladno izmjenama Kolektivnog ugovora te povećanju broja zaposlenih, veće su obveze za zaposlene.</w:t>
      </w:r>
    </w:p>
    <w:p w14:paraId="3EBDBBCB" w14:textId="77777777" w:rsidR="00680D31" w:rsidRDefault="00680D31"/>
    <w:p w14:paraId="0FDA2574" w14:textId="77777777" w:rsidR="00680D31"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13B255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DB8A4A"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5506BD"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F02992"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7A6A0"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4000C4"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6A6BB2" w14:textId="77777777" w:rsidR="00680D31" w:rsidRDefault="00000000">
            <w:pPr>
              <w:keepNext/>
              <w:keepLines/>
              <w:spacing w:after="0" w:line="240" w:lineRule="auto"/>
              <w:jc w:val="center"/>
            </w:pPr>
            <w:r>
              <w:rPr>
                <w:b/>
                <w:sz w:val="18"/>
              </w:rPr>
              <w:t>Indeks (%)</w:t>
            </w:r>
          </w:p>
        </w:tc>
      </w:tr>
      <w:tr w:rsidR="00680D31" w14:paraId="19312857" w14:textId="77777777">
        <w:tblPrEx>
          <w:tblCellMar>
            <w:top w:w="0" w:type="dxa"/>
            <w:bottom w:w="0" w:type="dxa"/>
          </w:tblCellMar>
        </w:tblPrEx>
        <w:trPr>
          <w:cantSplit/>
          <w:trHeight w:val="560"/>
        </w:trPr>
        <w:tc>
          <w:tcPr>
            <w:tcW w:w="700" w:type="dxa"/>
            <w:tcMar>
              <w:top w:w="0" w:type="dxa"/>
              <w:bottom w:w="0" w:type="dxa"/>
            </w:tcMar>
            <w:vAlign w:val="center"/>
          </w:tcPr>
          <w:p w14:paraId="3B7FF378" w14:textId="77777777" w:rsidR="00680D31" w:rsidRDefault="00000000">
            <w:pPr>
              <w:keepNext/>
              <w:keepLines/>
              <w:spacing w:after="0" w:line="240" w:lineRule="auto"/>
            </w:pPr>
            <w:r>
              <w:rPr>
                <w:sz w:val="18"/>
              </w:rPr>
              <w:t>232</w:t>
            </w:r>
          </w:p>
        </w:tc>
        <w:tc>
          <w:tcPr>
            <w:tcW w:w="3180" w:type="dxa"/>
            <w:tcMar>
              <w:top w:w="0" w:type="dxa"/>
              <w:bottom w:w="0" w:type="dxa"/>
            </w:tcMar>
            <w:vAlign w:val="center"/>
          </w:tcPr>
          <w:p w14:paraId="36AC23C7" w14:textId="77777777" w:rsidR="00680D31"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04E55353" w14:textId="77777777" w:rsidR="00680D31" w:rsidRDefault="00000000">
            <w:pPr>
              <w:keepNext/>
              <w:keepLines/>
              <w:spacing w:after="0" w:line="240" w:lineRule="auto"/>
            </w:pPr>
            <w:r>
              <w:rPr>
                <w:sz w:val="18"/>
              </w:rPr>
              <w:t>232</w:t>
            </w:r>
          </w:p>
        </w:tc>
        <w:tc>
          <w:tcPr>
            <w:tcW w:w="1860" w:type="dxa"/>
            <w:tcMar>
              <w:top w:w="0" w:type="dxa"/>
              <w:bottom w:w="0" w:type="dxa"/>
            </w:tcMar>
            <w:vAlign w:val="center"/>
          </w:tcPr>
          <w:p w14:paraId="6CBA5C4F" w14:textId="77777777" w:rsidR="00680D31" w:rsidRDefault="00000000">
            <w:pPr>
              <w:keepNext/>
              <w:keepLines/>
              <w:spacing w:after="0" w:line="240" w:lineRule="auto"/>
              <w:jc w:val="right"/>
            </w:pPr>
            <w:r>
              <w:rPr>
                <w:sz w:val="18"/>
              </w:rPr>
              <w:t>7.530,11</w:t>
            </w:r>
          </w:p>
        </w:tc>
        <w:tc>
          <w:tcPr>
            <w:tcW w:w="1860" w:type="dxa"/>
            <w:tcMar>
              <w:top w:w="0" w:type="dxa"/>
              <w:bottom w:w="0" w:type="dxa"/>
            </w:tcMar>
            <w:vAlign w:val="center"/>
          </w:tcPr>
          <w:p w14:paraId="447435A4" w14:textId="77777777" w:rsidR="00680D31" w:rsidRDefault="00000000">
            <w:pPr>
              <w:keepNext/>
              <w:keepLines/>
              <w:spacing w:after="0" w:line="240" w:lineRule="auto"/>
              <w:jc w:val="right"/>
            </w:pPr>
            <w:r>
              <w:rPr>
                <w:sz w:val="18"/>
              </w:rPr>
              <w:t>3.427,61</w:t>
            </w:r>
          </w:p>
        </w:tc>
        <w:tc>
          <w:tcPr>
            <w:tcW w:w="700" w:type="dxa"/>
            <w:tcMar>
              <w:top w:w="0" w:type="dxa"/>
              <w:bottom w:w="0" w:type="dxa"/>
            </w:tcMar>
            <w:vAlign w:val="center"/>
          </w:tcPr>
          <w:p w14:paraId="393AA0A2" w14:textId="77777777" w:rsidR="00680D31" w:rsidRDefault="00000000">
            <w:pPr>
              <w:keepNext/>
              <w:keepLines/>
              <w:spacing w:after="0" w:line="240" w:lineRule="auto"/>
              <w:jc w:val="right"/>
            </w:pPr>
            <w:r>
              <w:rPr>
                <w:sz w:val="18"/>
              </w:rPr>
              <w:t>45,5</w:t>
            </w:r>
          </w:p>
        </w:tc>
      </w:tr>
    </w:tbl>
    <w:p w14:paraId="0DE56202" w14:textId="77777777" w:rsidR="00680D31" w:rsidRDefault="00680D31">
      <w:pPr>
        <w:spacing w:after="0"/>
      </w:pPr>
    </w:p>
    <w:p w14:paraId="33ED9662" w14:textId="77777777" w:rsidR="00680D31" w:rsidRDefault="00000000">
      <w:r>
        <w:t>Manje su tekuće obveze sukladno neplaćenim računima za rashode poslovanja.</w:t>
      </w:r>
    </w:p>
    <w:p w14:paraId="3CAEF529" w14:textId="77777777" w:rsidR="00680D31" w:rsidRDefault="00680D31"/>
    <w:p w14:paraId="1EFFEB48" w14:textId="77777777" w:rsidR="00680D31"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5323C3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F1E446"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CF3756"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A92EC"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330F72"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E46C97"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26D771" w14:textId="77777777" w:rsidR="00680D31" w:rsidRDefault="00000000">
            <w:pPr>
              <w:keepNext/>
              <w:keepLines/>
              <w:spacing w:after="0" w:line="240" w:lineRule="auto"/>
              <w:jc w:val="center"/>
            </w:pPr>
            <w:r>
              <w:rPr>
                <w:b/>
                <w:sz w:val="18"/>
              </w:rPr>
              <w:t>Indeks (%)</w:t>
            </w:r>
          </w:p>
        </w:tc>
      </w:tr>
      <w:tr w:rsidR="00680D31" w14:paraId="38B95C48" w14:textId="77777777">
        <w:tblPrEx>
          <w:tblCellMar>
            <w:top w:w="0" w:type="dxa"/>
            <w:bottom w:w="0" w:type="dxa"/>
          </w:tblCellMar>
        </w:tblPrEx>
        <w:trPr>
          <w:cantSplit/>
          <w:trHeight w:val="560"/>
        </w:trPr>
        <w:tc>
          <w:tcPr>
            <w:tcW w:w="700" w:type="dxa"/>
            <w:tcMar>
              <w:top w:w="0" w:type="dxa"/>
              <w:bottom w:w="0" w:type="dxa"/>
            </w:tcMar>
            <w:vAlign w:val="center"/>
          </w:tcPr>
          <w:p w14:paraId="1E1C2ADB" w14:textId="77777777" w:rsidR="00680D31" w:rsidRDefault="00000000">
            <w:pPr>
              <w:keepNext/>
              <w:keepLines/>
              <w:spacing w:after="0" w:line="240" w:lineRule="auto"/>
            </w:pPr>
            <w:r>
              <w:rPr>
                <w:sz w:val="18"/>
              </w:rPr>
              <w:t>242</w:t>
            </w:r>
          </w:p>
        </w:tc>
        <w:tc>
          <w:tcPr>
            <w:tcW w:w="3180" w:type="dxa"/>
            <w:tcMar>
              <w:top w:w="0" w:type="dxa"/>
              <w:bottom w:w="0" w:type="dxa"/>
            </w:tcMar>
            <w:vAlign w:val="center"/>
          </w:tcPr>
          <w:p w14:paraId="39A4C5B0" w14:textId="77777777" w:rsidR="00680D31"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0140B846" w14:textId="77777777" w:rsidR="00680D31" w:rsidRDefault="00000000">
            <w:pPr>
              <w:keepNext/>
              <w:keepLines/>
              <w:spacing w:after="0" w:line="240" w:lineRule="auto"/>
            </w:pPr>
            <w:r>
              <w:rPr>
                <w:sz w:val="18"/>
              </w:rPr>
              <w:t>242</w:t>
            </w:r>
          </w:p>
        </w:tc>
        <w:tc>
          <w:tcPr>
            <w:tcW w:w="1860" w:type="dxa"/>
            <w:tcMar>
              <w:top w:w="0" w:type="dxa"/>
              <w:bottom w:w="0" w:type="dxa"/>
            </w:tcMar>
            <w:vAlign w:val="center"/>
          </w:tcPr>
          <w:p w14:paraId="2AEA05E9" w14:textId="77777777" w:rsidR="00680D31" w:rsidRDefault="00000000">
            <w:pPr>
              <w:keepNext/>
              <w:keepLines/>
              <w:spacing w:after="0" w:line="240" w:lineRule="auto"/>
              <w:jc w:val="right"/>
            </w:pPr>
            <w:r>
              <w:rPr>
                <w:sz w:val="18"/>
              </w:rPr>
              <w:t>3.314,40</w:t>
            </w:r>
          </w:p>
        </w:tc>
        <w:tc>
          <w:tcPr>
            <w:tcW w:w="1860" w:type="dxa"/>
            <w:tcMar>
              <w:top w:w="0" w:type="dxa"/>
              <w:bottom w:w="0" w:type="dxa"/>
            </w:tcMar>
            <w:vAlign w:val="center"/>
          </w:tcPr>
          <w:p w14:paraId="6EF18320" w14:textId="77777777" w:rsidR="00680D31" w:rsidRDefault="00000000">
            <w:pPr>
              <w:keepNext/>
              <w:keepLines/>
              <w:spacing w:after="0" w:line="240" w:lineRule="auto"/>
              <w:jc w:val="right"/>
            </w:pPr>
            <w:r>
              <w:rPr>
                <w:sz w:val="18"/>
              </w:rPr>
              <w:t>8.250,00</w:t>
            </w:r>
          </w:p>
        </w:tc>
        <w:tc>
          <w:tcPr>
            <w:tcW w:w="700" w:type="dxa"/>
            <w:tcMar>
              <w:top w:w="0" w:type="dxa"/>
              <w:bottom w:w="0" w:type="dxa"/>
            </w:tcMar>
            <w:vAlign w:val="center"/>
          </w:tcPr>
          <w:p w14:paraId="424052E8" w14:textId="77777777" w:rsidR="00680D31" w:rsidRDefault="00000000">
            <w:pPr>
              <w:keepNext/>
              <w:keepLines/>
              <w:spacing w:after="0" w:line="240" w:lineRule="auto"/>
              <w:jc w:val="right"/>
            </w:pPr>
            <w:r>
              <w:rPr>
                <w:sz w:val="18"/>
              </w:rPr>
              <w:t>248,9</w:t>
            </w:r>
          </w:p>
        </w:tc>
      </w:tr>
    </w:tbl>
    <w:p w14:paraId="3A16135E" w14:textId="77777777" w:rsidR="00680D31" w:rsidRDefault="00680D31">
      <w:pPr>
        <w:spacing w:after="0"/>
      </w:pPr>
    </w:p>
    <w:p w14:paraId="7BF1D57C" w14:textId="77777777" w:rsidR="00680D31" w:rsidRDefault="00000000">
      <w:r>
        <w:t>U tekućem razdoblju više je neplaćenih računa za nabavu imovine sukladno dinamici dospijeća računa i njihovom plaćanju.</w:t>
      </w:r>
    </w:p>
    <w:p w14:paraId="0797FC2C" w14:textId="77777777" w:rsidR="00680D31" w:rsidRDefault="00680D31"/>
    <w:p w14:paraId="6CB1DCDA" w14:textId="77777777" w:rsidR="00680D31"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576717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729239"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609ECE"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B8EF51"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C1F640"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10F0F5"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F8BC92" w14:textId="77777777" w:rsidR="00680D31" w:rsidRDefault="00000000">
            <w:pPr>
              <w:keepNext/>
              <w:keepLines/>
              <w:spacing w:after="0" w:line="240" w:lineRule="auto"/>
              <w:jc w:val="center"/>
            </w:pPr>
            <w:r>
              <w:rPr>
                <w:b/>
                <w:sz w:val="18"/>
              </w:rPr>
              <w:t>Indeks (%)</w:t>
            </w:r>
          </w:p>
        </w:tc>
      </w:tr>
      <w:tr w:rsidR="00680D31" w14:paraId="5CAFE1F2" w14:textId="77777777">
        <w:tblPrEx>
          <w:tblCellMar>
            <w:top w:w="0" w:type="dxa"/>
            <w:bottom w:w="0" w:type="dxa"/>
          </w:tblCellMar>
        </w:tblPrEx>
        <w:trPr>
          <w:cantSplit/>
          <w:trHeight w:val="560"/>
        </w:trPr>
        <w:tc>
          <w:tcPr>
            <w:tcW w:w="700" w:type="dxa"/>
            <w:tcMar>
              <w:top w:w="0" w:type="dxa"/>
              <w:bottom w:w="0" w:type="dxa"/>
            </w:tcMar>
            <w:vAlign w:val="center"/>
          </w:tcPr>
          <w:p w14:paraId="28FDDAC7" w14:textId="77777777" w:rsidR="00680D31" w:rsidRDefault="00000000">
            <w:pPr>
              <w:keepNext/>
              <w:keepLines/>
              <w:spacing w:after="0" w:line="240" w:lineRule="auto"/>
            </w:pPr>
            <w:r>
              <w:rPr>
                <w:sz w:val="18"/>
              </w:rPr>
              <w:t>245</w:t>
            </w:r>
          </w:p>
        </w:tc>
        <w:tc>
          <w:tcPr>
            <w:tcW w:w="3180" w:type="dxa"/>
            <w:tcMar>
              <w:top w:w="0" w:type="dxa"/>
              <w:bottom w:w="0" w:type="dxa"/>
            </w:tcMar>
            <w:vAlign w:val="center"/>
          </w:tcPr>
          <w:p w14:paraId="2DBEC422" w14:textId="77777777" w:rsidR="00680D31"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0A771CE7" w14:textId="77777777" w:rsidR="00680D31" w:rsidRDefault="00000000">
            <w:pPr>
              <w:keepNext/>
              <w:keepLines/>
              <w:spacing w:after="0" w:line="240" w:lineRule="auto"/>
            </w:pPr>
            <w:r>
              <w:rPr>
                <w:sz w:val="18"/>
              </w:rPr>
              <w:t>245</w:t>
            </w:r>
          </w:p>
        </w:tc>
        <w:tc>
          <w:tcPr>
            <w:tcW w:w="1860" w:type="dxa"/>
            <w:tcMar>
              <w:top w:w="0" w:type="dxa"/>
              <w:bottom w:w="0" w:type="dxa"/>
            </w:tcMar>
            <w:vAlign w:val="center"/>
          </w:tcPr>
          <w:p w14:paraId="169C8783"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0E076BE8" w14:textId="77777777" w:rsidR="00680D31" w:rsidRDefault="00000000">
            <w:pPr>
              <w:keepNext/>
              <w:keepLines/>
              <w:spacing w:after="0" w:line="240" w:lineRule="auto"/>
              <w:jc w:val="right"/>
            </w:pPr>
            <w:r>
              <w:rPr>
                <w:sz w:val="18"/>
              </w:rPr>
              <w:t>73.626,57</w:t>
            </w:r>
          </w:p>
        </w:tc>
        <w:tc>
          <w:tcPr>
            <w:tcW w:w="700" w:type="dxa"/>
            <w:tcMar>
              <w:top w:w="0" w:type="dxa"/>
              <w:bottom w:w="0" w:type="dxa"/>
            </w:tcMar>
            <w:vAlign w:val="center"/>
          </w:tcPr>
          <w:p w14:paraId="4DC3696A" w14:textId="77777777" w:rsidR="00680D31" w:rsidRDefault="00000000">
            <w:pPr>
              <w:keepNext/>
              <w:keepLines/>
              <w:spacing w:after="0" w:line="240" w:lineRule="auto"/>
              <w:jc w:val="right"/>
            </w:pPr>
            <w:r>
              <w:rPr>
                <w:sz w:val="18"/>
              </w:rPr>
              <w:t>-</w:t>
            </w:r>
          </w:p>
        </w:tc>
      </w:tr>
    </w:tbl>
    <w:p w14:paraId="627BE3F8" w14:textId="77777777" w:rsidR="00680D31" w:rsidRDefault="00680D31">
      <w:pPr>
        <w:spacing w:after="0"/>
      </w:pPr>
    </w:p>
    <w:p w14:paraId="45E57FE1" w14:textId="77777777" w:rsidR="00680D31" w:rsidRDefault="00000000">
      <w:r>
        <w:t>Na kraju 2025. god. pristigli su računi za adaptaciju prostora.</w:t>
      </w:r>
    </w:p>
    <w:p w14:paraId="1067ABF7" w14:textId="77777777" w:rsidR="00680D31" w:rsidRDefault="00000000">
      <w:r>
        <w:t> </w:t>
      </w:r>
    </w:p>
    <w:p w14:paraId="743CD24F" w14:textId="77777777" w:rsidR="00680D31" w:rsidRDefault="00680D31"/>
    <w:p w14:paraId="5C5D07A6" w14:textId="77777777" w:rsidR="00680D31"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918FE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FB5B52"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EB47D6"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2F97B6"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DBF917"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EF895F"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75ED30" w14:textId="77777777" w:rsidR="00680D31" w:rsidRDefault="00000000">
            <w:pPr>
              <w:keepNext/>
              <w:keepLines/>
              <w:spacing w:after="0" w:line="240" w:lineRule="auto"/>
              <w:jc w:val="center"/>
            </w:pPr>
            <w:r>
              <w:rPr>
                <w:b/>
                <w:sz w:val="18"/>
              </w:rPr>
              <w:t>Indeks (%)</w:t>
            </w:r>
          </w:p>
        </w:tc>
      </w:tr>
      <w:tr w:rsidR="00680D31" w14:paraId="10564859" w14:textId="77777777">
        <w:tblPrEx>
          <w:tblCellMar>
            <w:top w:w="0" w:type="dxa"/>
            <w:bottom w:w="0" w:type="dxa"/>
          </w:tblCellMar>
        </w:tblPrEx>
        <w:trPr>
          <w:cantSplit/>
          <w:trHeight w:val="560"/>
        </w:trPr>
        <w:tc>
          <w:tcPr>
            <w:tcW w:w="700" w:type="dxa"/>
            <w:tcMar>
              <w:top w:w="0" w:type="dxa"/>
              <w:bottom w:w="0" w:type="dxa"/>
            </w:tcMar>
            <w:vAlign w:val="center"/>
          </w:tcPr>
          <w:p w14:paraId="0EEBAA85" w14:textId="77777777" w:rsidR="00680D31" w:rsidRDefault="00000000">
            <w:pPr>
              <w:keepNext/>
              <w:keepLines/>
              <w:spacing w:after="0" w:line="240" w:lineRule="auto"/>
            </w:pPr>
            <w:r>
              <w:rPr>
                <w:sz w:val="18"/>
              </w:rPr>
              <w:t>27</w:t>
            </w:r>
          </w:p>
        </w:tc>
        <w:tc>
          <w:tcPr>
            <w:tcW w:w="3180" w:type="dxa"/>
            <w:tcMar>
              <w:top w:w="0" w:type="dxa"/>
              <w:bottom w:w="0" w:type="dxa"/>
            </w:tcMar>
            <w:vAlign w:val="center"/>
          </w:tcPr>
          <w:p w14:paraId="01F9649F" w14:textId="77777777" w:rsidR="00680D31"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5795D2FF" w14:textId="77777777" w:rsidR="00680D31" w:rsidRDefault="00000000">
            <w:pPr>
              <w:keepNext/>
              <w:keepLines/>
              <w:spacing w:after="0" w:line="240" w:lineRule="auto"/>
            </w:pPr>
            <w:r>
              <w:rPr>
                <w:sz w:val="18"/>
              </w:rPr>
              <w:t>27</w:t>
            </w:r>
          </w:p>
        </w:tc>
        <w:tc>
          <w:tcPr>
            <w:tcW w:w="1860" w:type="dxa"/>
            <w:tcMar>
              <w:top w:w="0" w:type="dxa"/>
              <w:bottom w:w="0" w:type="dxa"/>
            </w:tcMar>
            <w:vAlign w:val="center"/>
          </w:tcPr>
          <w:p w14:paraId="29CC5310"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1E9B4FCD" w14:textId="77777777" w:rsidR="00680D31" w:rsidRDefault="00000000">
            <w:pPr>
              <w:keepNext/>
              <w:keepLines/>
              <w:spacing w:after="0" w:line="240" w:lineRule="auto"/>
              <w:jc w:val="right"/>
            </w:pPr>
            <w:r>
              <w:rPr>
                <w:sz w:val="18"/>
              </w:rPr>
              <w:t>25.195,17</w:t>
            </w:r>
          </w:p>
        </w:tc>
        <w:tc>
          <w:tcPr>
            <w:tcW w:w="700" w:type="dxa"/>
            <w:tcMar>
              <w:top w:w="0" w:type="dxa"/>
              <w:bottom w:w="0" w:type="dxa"/>
            </w:tcMar>
            <w:vAlign w:val="center"/>
          </w:tcPr>
          <w:p w14:paraId="47512DC9" w14:textId="77777777" w:rsidR="00680D31" w:rsidRDefault="00000000">
            <w:pPr>
              <w:keepNext/>
              <w:keepLines/>
              <w:spacing w:after="0" w:line="240" w:lineRule="auto"/>
              <w:jc w:val="right"/>
            </w:pPr>
            <w:r>
              <w:rPr>
                <w:sz w:val="18"/>
              </w:rPr>
              <w:t>-</w:t>
            </w:r>
          </w:p>
        </w:tc>
      </w:tr>
    </w:tbl>
    <w:p w14:paraId="59222704" w14:textId="77777777" w:rsidR="00680D31" w:rsidRDefault="00680D31">
      <w:pPr>
        <w:spacing w:after="0"/>
      </w:pPr>
    </w:p>
    <w:p w14:paraId="0E3FB67F" w14:textId="77777777" w:rsidR="00680D31" w:rsidRDefault="00000000">
      <w:r>
        <w:t>U tekućoj godini odnosi se na primljene jamčevne pologe te obveze proračunkih korisnika za povrat u nadležni proračun. U početnom stanju navedenih obveza nije bilo.</w:t>
      </w:r>
    </w:p>
    <w:p w14:paraId="3D48EB25" w14:textId="77777777" w:rsidR="00680D31" w:rsidRDefault="00680D31"/>
    <w:p w14:paraId="3171CF72" w14:textId="77777777" w:rsidR="00680D31"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6D38D3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301C8E"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C4731E"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0FF5E"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D19F34"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D55080"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7E2AB2" w14:textId="77777777" w:rsidR="00680D31" w:rsidRDefault="00000000">
            <w:pPr>
              <w:keepNext/>
              <w:keepLines/>
              <w:spacing w:after="0" w:line="240" w:lineRule="auto"/>
              <w:jc w:val="center"/>
            </w:pPr>
            <w:r>
              <w:rPr>
                <w:b/>
                <w:sz w:val="18"/>
              </w:rPr>
              <w:t>Indeks (%)</w:t>
            </w:r>
          </w:p>
        </w:tc>
      </w:tr>
      <w:tr w:rsidR="00680D31" w14:paraId="55C9D48F" w14:textId="77777777">
        <w:tblPrEx>
          <w:tblCellMar>
            <w:top w:w="0" w:type="dxa"/>
            <w:bottom w:w="0" w:type="dxa"/>
          </w:tblCellMar>
        </w:tblPrEx>
        <w:trPr>
          <w:cantSplit/>
          <w:trHeight w:val="560"/>
        </w:trPr>
        <w:tc>
          <w:tcPr>
            <w:tcW w:w="700" w:type="dxa"/>
            <w:tcMar>
              <w:top w:w="0" w:type="dxa"/>
              <w:bottom w:w="0" w:type="dxa"/>
            </w:tcMar>
            <w:vAlign w:val="center"/>
          </w:tcPr>
          <w:p w14:paraId="381A3B78" w14:textId="77777777" w:rsidR="00680D31" w:rsidRDefault="00000000">
            <w:pPr>
              <w:keepNext/>
              <w:keepLines/>
              <w:spacing w:after="0" w:line="240" w:lineRule="auto"/>
            </w:pPr>
            <w:r>
              <w:rPr>
                <w:sz w:val="18"/>
              </w:rPr>
              <w:t>911</w:t>
            </w:r>
          </w:p>
        </w:tc>
        <w:tc>
          <w:tcPr>
            <w:tcW w:w="3180" w:type="dxa"/>
            <w:tcMar>
              <w:top w:w="0" w:type="dxa"/>
              <w:bottom w:w="0" w:type="dxa"/>
            </w:tcMar>
            <w:vAlign w:val="center"/>
          </w:tcPr>
          <w:p w14:paraId="61684EEC" w14:textId="77777777" w:rsidR="00680D31" w:rsidRDefault="00000000">
            <w:pPr>
              <w:keepNext/>
              <w:keepLines/>
              <w:spacing w:after="0" w:line="240" w:lineRule="auto"/>
            </w:pPr>
            <w:r>
              <w:rPr>
                <w:sz w:val="18"/>
              </w:rPr>
              <w:t>Vlastiti izvori</w:t>
            </w:r>
          </w:p>
        </w:tc>
        <w:tc>
          <w:tcPr>
            <w:tcW w:w="700" w:type="dxa"/>
            <w:tcMar>
              <w:top w:w="0" w:type="dxa"/>
              <w:bottom w:w="0" w:type="dxa"/>
            </w:tcMar>
            <w:vAlign w:val="center"/>
          </w:tcPr>
          <w:p w14:paraId="79A895E3" w14:textId="77777777" w:rsidR="00680D31" w:rsidRDefault="00000000">
            <w:pPr>
              <w:keepNext/>
              <w:keepLines/>
              <w:spacing w:after="0" w:line="240" w:lineRule="auto"/>
            </w:pPr>
            <w:r>
              <w:rPr>
                <w:sz w:val="18"/>
              </w:rPr>
              <w:t>911</w:t>
            </w:r>
          </w:p>
        </w:tc>
        <w:tc>
          <w:tcPr>
            <w:tcW w:w="1860" w:type="dxa"/>
            <w:tcMar>
              <w:top w:w="0" w:type="dxa"/>
              <w:bottom w:w="0" w:type="dxa"/>
            </w:tcMar>
            <w:vAlign w:val="center"/>
          </w:tcPr>
          <w:p w14:paraId="538B23B8" w14:textId="77777777" w:rsidR="00680D31" w:rsidRDefault="00000000">
            <w:pPr>
              <w:keepNext/>
              <w:keepLines/>
              <w:spacing w:after="0" w:line="240" w:lineRule="auto"/>
              <w:jc w:val="right"/>
            </w:pPr>
            <w:r>
              <w:rPr>
                <w:sz w:val="18"/>
              </w:rPr>
              <w:t>907.784,44</w:t>
            </w:r>
          </w:p>
        </w:tc>
        <w:tc>
          <w:tcPr>
            <w:tcW w:w="1860" w:type="dxa"/>
            <w:tcMar>
              <w:top w:w="0" w:type="dxa"/>
              <w:bottom w:w="0" w:type="dxa"/>
            </w:tcMar>
            <w:vAlign w:val="center"/>
          </w:tcPr>
          <w:p w14:paraId="1BE6263C" w14:textId="77777777" w:rsidR="00680D31" w:rsidRDefault="00000000">
            <w:pPr>
              <w:keepNext/>
              <w:keepLines/>
              <w:spacing w:after="0" w:line="240" w:lineRule="auto"/>
              <w:jc w:val="right"/>
            </w:pPr>
            <w:r>
              <w:rPr>
                <w:sz w:val="18"/>
              </w:rPr>
              <w:t>1.091.602,95</w:t>
            </w:r>
          </w:p>
        </w:tc>
        <w:tc>
          <w:tcPr>
            <w:tcW w:w="700" w:type="dxa"/>
            <w:tcMar>
              <w:top w:w="0" w:type="dxa"/>
              <w:bottom w:w="0" w:type="dxa"/>
            </w:tcMar>
            <w:vAlign w:val="center"/>
          </w:tcPr>
          <w:p w14:paraId="67557DD9" w14:textId="77777777" w:rsidR="00680D31" w:rsidRDefault="00000000">
            <w:pPr>
              <w:keepNext/>
              <w:keepLines/>
              <w:spacing w:after="0" w:line="240" w:lineRule="auto"/>
              <w:jc w:val="right"/>
            </w:pPr>
            <w:r>
              <w:rPr>
                <w:sz w:val="18"/>
              </w:rPr>
              <w:t>120,2</w:t>
            </w:r>
          </w:p>
        </w:tc>
      </w:tr>
    </w:tbl>
    <w:p w14:paraId="3AEC4CEA" w14:textId="77777777" w:rsidR="00680D31" w:rsidRDefault="00680D31">
      <w:pPr>
        <w:spacing w:after="0"/>
      </w:pPr>
    </w:p>
    <w:p w14:paraId="164F741E" w14:textId="77777777" w:rsidR="00680D31" w:rsidRDefault="00000000">
      <w:r>
        <w:t>Povećanje sukladno povećanju nefinancijske imovine.</w:t>
      </w:r>
    </w:p>
    <w:p w14:paraId="012664D7" w14:textId="77777777" w:rsidR="00680D31" w:rsidRDefault="00680D31"/>
    <w:p w14:paraId="38F73996" w14:textId="77777777" w:rsidR="00680D31" w:rsidRDefault="00000000">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4963BB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691325"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106E12"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5B9DA6"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BBE5EA"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6FF82E"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90E310" w14:textId="77777777" w:rsidR="00680D31" w:rsidRDefault="00000000">
            <w:pPr>
              <w:keepNext/>
              <w:keepLines/>
              <w:spacing w:after="0" w:line="240" w:lineRule="auto"/>
              <w:jc w:val="center"/>
            </w:pPr>
            <w:r>
              <w:rPr>
                <w:b/>
                <w:sz w:val="18"/>
              </w:rPr>
              <w:t>Indeks (%)</w:t>
            </w:r>
          </w:p>
        </w:tc>
      </w:tr>
      <w:tr w:rsidR="00680D31" w14:paraId="7AE6ED2E" w14:textId="77777777">
        <w:tblPrEx>
          <w:tblCellMar>
            <w:top w:w="0" w:type="dxa"/>
            <w:bottom w:w="0" w:type="dxa"/>
          </w:tblCellMar>
        </w:tblPrEx>
        <w:trPr>
          <w:cantSplit/>
          <w:trHeight w:val="560"/>
        </w:trPr>
        <w:tc>
          <w:tcPr>
            <w:tcW w:w="700" w:type="dxa"/>
            <w:tcMar>
              <w:top w:w="0" w:type="dxa"/>
              <w:bottom w:w="0" w:type="dxa"/>
            </w:tcMar>
            <w:vAlign w:val="center"/>
          </w:tcPr>
          <w:p w14:paraId="121AEE11" w14:textId="77777777" w:rsidR="00680D31" w:rsidRDefault="00000000">
            <w:pPr>
              <w:keepNext/>
              <w:keepLines/>
              <w:spacing w:after="0" w:line="240" w:lineRule="auto"/>
            </w:pPr>
            <w:r>
              <w:rPr>
                <w:sz w:val="18"/>
              </w:rPr>
              <w:t>9222</w:t>
            </w:r>
          </w:p>
        </w:tc>
        <w:tc>
          <w:tcPr>
            <w:tcW w:w="3180" w:type="dxa"/>
            <w:tcMar>
              <w:top w:w="0" w:type="dxa"/>
              <w:bottom w:w="0" w:type="dxa"/>
            </w:tcMar>
            <w:vAlign w:val="center"/>
          </w:tcPr>
          <w:p w14:paraId="2E2BBA00" w14:textId="77777777" w:rsidR="00680D31"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5E8B51D6" w14:textId="77777777" w:rsidR="00680D31" w:rsidRDefault="00000000">
            <w:pPr>
              <w:keepNext/>
              <w:keepLines/>
              <w:spacing w:after="0" w:line="240" w:lineRule="auto"/>
            </w:pPr>
            <w:r>
              <w:rPr>
                <w:sz w:val="18"/>
              </w:rPr>
              <w:t>9222</w:t>
            </w:r>
          </w:p>
        </w:tc>
        <w:tc>
          <w:tcPr>
            <w:tcW w:w="1860" w:type="dxa"/>
            <w:tcMar>
              <w:top w:w="0" w:type="dxa"/>
              <w:bottom w:w="0" w:type="dxa"/>
            </w:tcMar>
            <w:vAlign w:val="center"/>
          </w:tcPr>
          <w:p w14:paraId="21CF75A8" w14:textId="77777777" w:rsidR="00680D31" w:rsidRDefault="00000000">
            <w:pPr>
              <w:keepNext/>
              <w:keepLines/>
              <w:spacing w:after="0" w:line="240" w:lineRule="auto"/>
              <w:jc w:val="right"/>
            </w:pPr>
            <w:r>
              <w:rPr>
                <w:sz w:val="18"/>
              </w:rPr>
              <w:t>16.186,54</w:t>
            </w:r>
          </w:p>
        </w:tc>
        <w:tc>
          <w:tcPr>
            <w:tcW w:w="1860" w:type="dxa"/>
            <w:tcMar>
              <w:top w:w="0" w:type="dxa"/>
              <w:bottom w:w="0" w:type="dxa"/>
            </w:tcMar>
            <w:vAlign w:val="center"/>
          </w:tcPr>
          <w:p w14:paraId="2EE16BA0" w14:textId="77777777" w:rsidR="00680D31" w:rsidRDefault="00000000">
            <w:pPr>
              <w:keepNext/>
              <w:keepLines/>
              <w:spacing w:after="0" w:line="240" w:lineRule="auto"/>
              <w:jc w:val="right"/>
            </w:pPr>
            <w:r>
              <w:rPr>
                <w:sz w:val="18"/>
              </w:rPr>
              <w:t>99.484,08</w:t>
            </w:r>
          </w:p>
        </w:tc>
        <w:tc>
          <w:tcPr>
            <w:tcW w:w="700" w:type="dxa"/>
            <w:tcMar>
              <w:top w:w="0" w:type="dxa"/>
              <w:bottom w:w="0" w:type="dxa"/>
            </w:tcMar>
            <w:vAlign w:val="center"/>
          </w:tcPr>
          <w:p w14:paraId="18EA9871" w14:textId="77777777" w:rsidR="00680D31" w:rsidRDefault="00000000">
            <w:pPr>
              <w:keepNext/>
              <w:keepLines/>
              <w:spacing w:after="0" w:line="240" w:lineRule="auto"/>
              <w:jc w:val="right"/>
            </w:pPr>
            <w:r>
              <w:rPr>
                <w:sz w:val="18"/>
              </w:rPr>
              <w:t>614,6</w:t>
            </w:r>
          </w:p>
        </w:tc>
      </w:tr>
    </w:tbl>
    <w:p w14:paraId="0825FE84" w14:textId="77777777" w:rsidR="00680D31" w:rsidRDefault="00680D31">
      <w:pPr>
        <w:spacing w:after="0"/>
      </w:pPr>
    </w:p>
    <w:p w14:paraId="34A1CAB9" w14:textId="77777777" w:rsidR="00680D31" w:rsidRDefault="00000000">
      <w:r>
        <w:t>U 2025. god. proknjižena je Odluka o raspodjeli rezultata 2024. god. </w:t>
      </w:r>
    </w:p>
    <w:p w14:paraId="3DEADA99" w14:textId="77777777" w:rsidR="00680D31" w:rsidRDefault="00000000">
      <w:r>
        <w:t>Nakon utvrđivanja viškova/manjkova tekućeg razdoblja te prebijanja sa prenesenim stanjem, izvršena je obvezna korekcija rezultata.</w:t>
      </w:r>
    </w:p>
    <w:p w14:paraId="75D0ECAE" w14:textId="77777777" w:rsidR="00680D31" w:rsidRDefault="00680D31"/>
    <w:p w14:paraId="6B14CBE4" w14:textId="77777777" w:rsidR="00680D31"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FE5A6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DECD43"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753850"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FE3F04"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429C9"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83D9BD"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450536" w14:textId="77777777" w:rsidR="00680D31" w:rsidRDefault="00000000">
            <w:pPr>
              <w:keepNext/>
              <w:keepLines/>
              <w:spacing w:after="0" w:line="240" w:lineRule="auto"/>
              <w:jc w:val="center"/>
            </w:pPr>
            <w:r>
              <w:rPr>
                <w:b/>
                <w:sz w:val="18"/>
              </w:rPr>
              <w:t>Indeks (%)</w:t>
            </w:r>
          </w:p>
        </w:tc>
      </w:tr>
      <w:tr w:rsidR="00680D31" w14:paraId="44B2FB61" w14:textId="77777777">
        <w:tblPrEx>
          <w:tblCellMar>
            <w:top w:w="0" w:type="dxa"/>
            <w:bottom w:w="0" w:type="dxa"/>
          </w:tblCellMar>
        </w:tblPrEx>
        <w:trPr>
          <w:cantSplit/>
          <w:trHeight w:val="560"/>
        </w:trPr>
        <w:tc>
          <w:tcPr>
            <w:tcW w:w="700" w:type="dxa"/>
            <w:tcMar>
              <w:top w:w="0" w:type="dxa"/>
              <w:bottom w:w="0" w:type="dxa"/>
            </w:tcMar>
            <w:vAlign w:val="center"/>
          </w:tcPr>
          <w:p w14:paraId="683D23E5" w14:textId="77777777" w:rsidR="00680D31" w:rsidRDefault="00000000">
            <w:pPr>
              <w:keepNext/>
              <w:keepLines/>
              <w:spacing w:after="0" w:line="240" w:lineRule="auto"/>
            </w:pPr>
            <w:r>
              <w:rPr>
                <w:sz w:val="18"/>
              </w:rPr>
              <w:t>92222</w:t>
            </w:r>
          </w:p>
        </w:tc>
        <w:tc>
          <w:tcPr>
            <w:tcW w:w="3180" w:type="dxa"/>
            <w:tcMar>
              <w:top w:w="0" w:type="dxa"/>
              <w:bottom w:w="0" w:type="dxa"/>
            </w:tcMar>
            <w:vAlign w:val="center"/>
          </w:tcPr>
          <w:p w14:paraId="0C96FA16" w14:textId="77777777" w:rsidR="00680D31"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1704D511" w14:textId="77777777" w:rsidR="00680D31" w:rsidRDefault="00000000">
            <w:pPr>
              <w:keepNext/>
              <w:keepLines/>
              <w:spacing w:after="0" w:line="240" w:lineRule="auto"/>
            </w:pPr>
            <w:r>
              <w:rPr>
                <w:sz w:val="18"/>
              </w:rPr>
              <w:t>92222</w:t>
            </w:r>
          </w:p>
        </w:tc>
        <w:tc>
          <w:tcPr>
            <w:tcW w:w="1860" w:type="dxa"/>
            <w:tcMar>
              <w:top w:w="0" w:type="dxa"/>
              <w:bottom w:w="0" w:type="dxa"/>
            </w:tcMar>
            <w:vAlign w:val="center"/>
          </w:tcPr>
          <w:p w14:paraId="2F6EB40F" w14:textId="77777777" w:rsidR="00680D31" w:rsidRDefault="00000000">
            <w:pPr>
              <w:keepNext/>
              <w:keepLines/>
              <w:spacing w:after="0" w:line="240" w:lineRule="auto"/>
              <w:jc w:val="right"/>
            </w:pPr>
            <w:r>
              <w:rPr>
                <w:sz w:val="18"/>
              </w:rPr>
              <w:t>7.416,60</w:t>
            </w:r>
          </w:p>
        </w:tc>
        <w:tc>
          <w:tcPr>
            <w:tcW w:w="1860" w:type="dxa"/>
            <w:tcMar>
              <w:top w:w="0" w:type="dxa"/>
              <w:bottom w:w="0" w:type="dxa"/>
            </w:tcMar>
            <w:vAlign w:val="center"/>
          </w:tcPr>
          <w:p w14:paraId="44FE76D8" w14:textId="77777777" w:rsidR="00680D31" w:rsidRDefault="00000000">
            <w:pPr>
              <w:keepNext/>
              <w:keepLines/>
              <w:spacing w:after="0" w:line="240" w:lineRule="auto"/>
              <w:jc w:val="right"/>
            </w:pPr>
            <w:r>
              <w:rPr>
                <w:sz w:val="18"/>
              </w:rPr>
              <w:t>88.456,88</w:t>
            </w:r>
          </w:p>
        </w:tc>
        <w:tc>
          <w:tcPr>
            <w:tcW w:w="700" w:type="dxa"/>
            <w:tcMar>
              <w:top w:w="0" w:type="dxa"/>
              <w:bottom w:w="0" w:type="dxa"/>
            </w:tcMar>
            <w:vAlign w:val="center"/>
          </w:tcPr>
          <w:p w14:paraId="71221CAD" w14:textId="77777777" w:rsidR="00680D31" w:rsidRDefault="00000000">
            <w:pPr>
              <w:keepNext/>
              <w:keepLines/>
              <w:spacing w:after="0" w:line="240" w:lineRule="auto"/>
              <w:jc w:val="right"/>
            </w:pPr>
            <w:r>
              <w:rPr>
                <w:sz w:val="18"/>
              </w:rPr>
              <w:t>1192,7</w:t>
            </w:r>
          </w:p>
        </w:tc>
      </w:tr>
    </w:tbl>
    <w:p w14:paraId="21628CAF" w14:textId="77777777" w:rsidR="00680D31" w:rsidRDefault="00680D31">
      <w:pPr>
        <w:spacing w:after="0"/>
      </w:pPr>
    </w:p>
    <w:p w14:paraId="5CBBE43F" w14:textId="77777777" w:rsidR="00680D31" w:rsidRDefault="00000000">
      <w:r>
        <w:t>U tekućem razdoblju ostao je značajan iznos neplaćenih računa za nabavu imovine financiranih od strane Grada Kutine (nisu knjiženi prihodi) te se bilježi značajniji manjak.</w:t>
      </w:r>
    </w:p>
    <w:p w14:paraId="2F303A73" w14:textId="77777777" w:rsidR="00680D31" w:rsidRDefault="00680D31"/>
    <w:p w14:paraId="683F2764" w14:textId="77777777" w:rsidR="00680D31"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202928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70A75"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B91042"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B18114"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B1B296"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1CE18E"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060636" w14:textId="77777777" w:rsidR="00680D31" w:rsidRDefault="00000000">
            <w:pPr>
              <w:keepNext/>
              <w:keepLines/>
              <w:spacing w:after="0" w:line="240" w:lineRule="auto"/>
              <w:jc w:val="center"/>
            </w:pPr>
            <w:r>
              <w:rPr>
                <w:b/>
                <w:sz w:val="18"/>
              </w:rPr>
              <w:t>Indeks (%)</w:t>
            </w:r>
          </w:p>
        </w:tc>
      </w:tr>
      <w:tr w:rsidR="00680D31" w14:paraId="011C9F8C" w14:textId="77777777">
        <w:tblPrEx>
          <w:tblCellMar>
            <w:top w:w="0" w:type="dxa"/>
            <w:bottom w:w="0" w:type="dxa"/>
          </w:tblCellMar>
        </w:tblPrEx>
        <w:trPr>
          <w:cantSplit/>
          <w:trHeight w:val="560"/>
        </w:trPr>
        <w:tc>
          <w:tcPr>
            <w:tcW w:w="700" w:type="dxa"/>
            <w:tcMar>
              <w:top w:w="0" w:type="dxa"/>
              <w:bottom w:w="0" w:type="dxa"/>
            </w:tcMar>
            <w:vAlign w:val="center"/>
          </w:tcPr>
          <w:p w14:paraId="660D0D23" w14:textId="77777777" w:rsidR="00680D31" w:rsidRDefault="00000000">
            <w:pPr>
              <w:keepNext/>
              <w:keepLines/>
              <w:spacing w:after="0" w:line="240" w:lineRule="auto"/>
            </w:pPr>
            <w:r>
              <w:rPr>
                <w:sz w:val="18"/>
              </w:rPr>
              <w:t>996</w:t>
            </w:r>
          </w:p>
        </w:tc>
        <w:tc>
          <w:tcPr>
            <w:tcW w:w="3180" w:type="dxa"/>
            <w:tcMar>
              <w:top w:w="0" w:type="dxa"/>
              <w:bottom w:w="0" w:type="dxa"/>
            </w:tcMar>
            <w:vAlign w:val="center"/>
          </w:tcPr>
          <w:p w14:paraId="1DBDEB2F" w14:textId="77777777" w:rsidR="00680D31"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19F41A08" w14:textId="77777777" w:rsidR="00680D31" w:rsidRDefault="00000000">
            <w:pPr>
              <w:keepNext/>
              <w:keepLines/>
              <w:spacing w:after="0" w:line="240" w:lineRule="auto"/>
            </w:pPr>
            <w:r>
              <w:rPr>
                <w:sz w:val="18"/>
              </w:rPr>
              <w:t>996</w:t>
            </w:r>
          </w:p>
        </w:tc>
        <w:tc>
          <w:tcPr>
            <w:tcW w:w="1860" w:type="dxa"/>
            <w:tcMar>
              <w:top w:w="0" w:type="dxa"/>
              <w:bottom w:w="0" w:type="dxa"/>
            </w:tcMar>
            <w:vAlign w:val="center"/>
          </w:tcPr>
          <w:p w14:paraId="449761F9" w14:textId="77777777" w:rsidR="00680D31" w:rsidRDefault="00000000">
            <w:pPr>
              <w:keepNext/>
              <w:keepLines/>
              <w:spacing w:after="0" w:line="240" w:lineRule="auto"/>
              <w:jc w:val="right"/>
            </w:pPr>
            <w:r>
              <w:rPr>
                <w:sz w:val="18"/>
              </w:rPr>
              <w:t>2.668,46</w:t>
            </w:r>
          </w:p>
        </w:tc>
        <w:tc>
          <w:tcPr>
            <w:tcW w:w="1860" w:type="dxa"/>
            <w:tcMar>
              <w:top w:w="0" w:type="dxa"/>
              <w:bottom w:w="0" w:type="dxa"/>
            </w:tcMar>
            <w:vAlign w:val="center"/>
          </w:tcPr>
          <w:p w14:paraId="7E9668B7" w14:textId="77777777" w:rsidR="00680D31" w:rsidRDefault="00000000">
            <w:pPr>
              <w:keepNext/>
              <w:keepLines/>
              <w:spacing w:after="0" w:line="240" w:lineRule="auto"/>
              <w:jc w:val="right"/>
            </w:pPr>
            <w:r>
              <w:rPr>
                <w:sz w:val="18"/>
              </w:rPr>
              <w:t>44.915,20</w:t>
            </w:r>
          </w:p>
        </w:tc>
        <w:tc>
          <w:tcPr>
            <w:tcW w:w="700" w:type="dxa"/>
            <w:tcMar>
              <w:top w:w="0" w:type="dxa"/>
              <w:bottom w:w="0" w:type="dxa"/>
            </w:tcMar>
            <w:vAlign w:val="center"/>
          </w:tcPr>
          <w:p w14:paraId="6B3C3DD2" w14:textId="77777777" w:rsidR="00680D31" w:rsidRDefault="00000000">
            <w:pPr>
              <w:keepNext/>
              <w:keepLines/>
              <w:spacing w:after="0" w:line="240" w:lineRule="auto"/>
              <w:jc w:val="right"/>
            </w:pPr>
            <w:r>
              <w:rPr>
                <w:sz w:val="18"/>
              </w:rPr>
              <w:t>1683,2</w:t>
            </w:r>
          </w:p>
        </w:tc>
      </w:tr>
    </w:tbl>
    <w:p w14:paraId="422173E2" w14:textId="77777777" w:rsidR="00680D31" w:rsidRDefault="00680D31">
      <w:pPr>
        <w:spacing w:after="0"/>
      </w:pPr>
    </w:p>
    <w:p w14:paraId="18677D85" w14:textId="77777777" w:rsidR="00680D31" w:rsidRDefault="00000000">
      <w:r>
        <w:t>Odnose se na imovinu za otuđenje, primljene bankovne garancije te preuzete obveze po ugovorima o nabavi roba, radova i usluga. Zbog izvođenja građevinskih radova, navedenog  je više u tekućem razdoblju.</w:t>
      </w:r>
    </w:p>
    <w:p w14:paraId="55472325" w14:textId="77777777" w:rsidR="00680D31" w:rsidRDefault="00680D31"/>
    <w:p w14:paraId="251C1564" w14:textId="77777777" w:rsidR="00680D31"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445692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D53BA"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31DB77"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BD365B"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DAF788"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56F844"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7F3D10" w14:textId="77777777" w:rsidR="00680D31" w:rsidRDefault="00000000">
            <w:pPr>
              <w:keepNext/>
              <w:keepLines/>
              <w:spacing w:after="0" w:line="240" w:lineRule="auto"/>
              <w:jc w:val="center"/>
            </w:pPr>
            <w:r>
              <w:rPr>
                <w:b/>
                <w:sz w:val="18"/>
              </w:rPr>
              <w:t>Indeks (%)</w:t>
            </w:r>
          </w:p>
        </w:tc>
      </w:tr>
      <w:tr w:rsidR="00680D31" w14:paraId="02ED8A47" w14:textId="77777777">
        <w:tblPrEx>
          <w:tblCellMar>
            <w:top w:w="0" w:type="dxa"/>
            <w:bottom w:w="0" w:type="dxa"/>
          </w:tblCellMar>
        </w:tblPrEx>
        <w:trPr>
          <w:cantSplit/>
          <w:trHeight w:val="560"/>
        </w:trPr>
        <w:tc>
          <w:tcPr>
            <w:tcW w:w="700" w:type="dxa"/>
            <w:tcMar>
              <w:top w:w="0" w:type="dxa"/>
              <w:bottom w:w="0" w:type="dxa"/>
            </w:tcMar>
            <w:vAlign w:val="center"/>
          </w:tcPr>
          <w:p w14:paraId="483AB84E" w14:textId="77777777" w:rsidR="00680D31" w:rsidRDefault="00000000">
            <w:pPr>
              <w:keepNext/>
              <w:keepLines/>
              <w:spacing w:after="0" w:line="240" w:lineRule="auto"/>
            </w:pPr>
            <w:r>
              <w:rPr>
                <w:sz w:val="18"/>
              </w:rPr>
              <w:t>dio 16</w:t>
            </w:r>
          </w:p>
        </w:tc>
        <w:tc>
          <w:tcPr>
            <w:tcW w:w="3180" w:type="dxa"/>
            <w:tcMar>
              <w:top w:w="0" w:type="dxa"/>
              <w:bottom w:w="0" w:type="dxa"/>
            </w:tcMar>
            <w:vAlign w:val="center"/>
          </w:tcPr>
          <w:p w14:paraId="0FBD6819" w14:textId="77777777" w:rsidR="00680D31"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704F3FCD" w14:textId="77777777" w:rsidR="00680D31" w:rsidRDefault="00000000">
            <w:pPr>
              <w:keepNext/>
              <w:keepLines/>
              <w:spacing w:after="0" w:line="240" w:lineRule="auto"/>
            </w:pPr>
            <w:r>
              <w:rPr>
                <w:sz w:val="18"/>
              </w:rPr>
              <w:t>dio 16 N</w:t>
            </w:r>
          </w:p>
        </w:tc>
        <w:tc>
          <w:tcPr>
            <w:tcW w:w="1860" w:type="dxa"/>
            <w:tcMar>
              <w:top w:w="0" w:type="dxa"/>
              <w:bottom w:w="0" w:type="dxa"/>
            </w:tcMar>
            <w:vAlign w:val="center"/>
          </w:tcPr>
          <w:p w14:paraId="2B4F8892" w14:textId="77777777" w:rsidR="00680D31" w:rsidRDefault="00000000">
            <w:pPr>
              <w:keepNext/>
              <w:keepLines/>
              <w:spacing w:after="0" w:line="240" w:lineRule="auto"/>
              <w:jc w:val="right"/>
            </w:pPr>
            <w:r>
              <w:rPr>
                <w:sz w:val="18"/>
              </w:rPr>
              <w:t>6.013,65</w:t>
            </w:r>
          </w:p>
        </w:tc>
        <w:tc>
          <w:tcPr>
            <w:tcW w:w="1860" w:type="dxa"/>
            <w:tcMar>
              <w:top w:w="0" w:type="dxa"/>
              <w:bottom w:w="0" w:type="dxa"/>
            </w:tcMar>
            <w:vAlign w:val="center"/>
          </w:tcPr>
          <w:p w14:paraId="25370E80" w14:textId="77777777" w:rsidR="00680D31" w:rsidRDefault="00000000">
            <w:pPr>
              <w:keepNext/>
              <w:keepLines/>
              <w:spacing w:after="0" w:line="240" w:lineRule="auto"/>
              <w:jc w:val="right"/>
            </w:pPr>
            <w:r>
              <w:rPr>
                <w:sz w:val="18"/>
              </w:rPr>
              <w:t>25.701,80</w:t>
            </w:r>
          </w:p>
        </w:tc>
        <w:tc>
          <w:tcPr>
            <w:tcW w:w="700" w:type="dxa"/>
            <w:tcMar>
              <w:top w:w="0" w:type="dxa"/>
              <w:bottom w:w="0" w:type="dxa"/>
            </w:tcMar>
            <w:vAlign w:val="center"/>
          </w:tcPr>
          <w:p w14:paraId="4C340696" w14:textId="77777777" w:rsidR="00680D31" w:rsidRDefault="00000000">
            <w:pPr>
              <w:keepNext/>
              <w:keepLines/>
              <w:spacing w:after="0" w:line="240" w:lineRule="auto"/>
              <w:jc w:val="right"/>
            </w:pPr>
            <w:r>
              <w:rPr>
                <w:sz w:val="18"/>
              </w:rPr>
              <w:t>427,4</w:t>
            </w:r>
          </w:p>
        </w:tc>
      </w:tr>
    </w:tbl>
    <w:p w14:paraId="6DDE7AD7" w14:textId="77777777" w:rsidR="00680D31" w:rsidRDefault="00680D31">
      <w:pPr>
        <w:spacing w:after="0"/>
      </w:pPr>
    </w:p>
    <w:p w14:paraId="0B1B7B07" w14:textId="77777777" w:rsidR="00680D31" w:rsidRDefault="00000000">
      <w:r>
        <w:t>Povećanje zbog većeg iznosa na 167210.</w:t>
      </w:r>
    </w:p>
    <w:p w14:paraId="384B7BC2" w14:textId="77777777" w:rsidR="00680D31" w:rsidRDefault="00680D31"/>
    <w:p w14:paraId="42D78E81" w14:textId="77777777" w:rsidR="00680D31"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5C9568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82BA36"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2E912B"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3F983"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07D6BB"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C589FE"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4BA8BE" w14:textId="77777777" w:rsidR="00680D31" w:rsidRDefault="00000000">
            <w:pPr>
              <w:keepNext/>
              <w:keepLines/>
              <w:spacing w:after="0" w:line="240" w:lineRule="auto"/>
              <w:jc w:val="center"/>
            </w:pPr>
            <w:r>
              <w:rPr>
                <w:b/>
                <w:sz w:val="18"/>
              </w:rPr>
              <w:t>Indeks (%)</w:t>
            </w:r>
          </w:p>
        </w:tc>
      </w:tr>
      <w:tr w:rsidR="00680D31" w14:paraId="1444C817" w14:textId="77777777">
        <w:tblPrEx>
          <w:tblCellMar>
            <w:top w:w="0" w:type="dxa"/>
            <w:bottom w:w="0" w:type="dxa"/>
          </w:tblCellMar>
        </w:tblPrEx>
        <w:trPr>
          <w:cantSplit/>
          <w:trHeight w:val="560"/>
        </w:trPr>
        <w:tc>
          <w:tcPr>
            <w:tcW w:w="700" w:type="dxa"/>
            <w:tcMar>
              <w:top w:w="0" w:type="dxa"/>
              <w:bottom w:w="0" w:type="dxa"/>
            </w:tcMar>
            <w:vAlign w:val="center"/>
          </w:tcPr>
          <w:p w14:paraId="6ACB4AEF" w14:textId="77777777" w:rsidR="00680D31" w:rsidRDefault="00000000">
            <w:pPr>
              <w:keepNext/>
              <w:keepLines/>
              <w:spacing w:after="0" w:line="240" w:lineRule="auto"/>
            </w:pPr>
            <w:r>
              <w:rPr>
                <w:sz w:val="18"/>
              </w:rPr>
              <w:t>16721</w:t>
            </w:r>
          </w:p>
        </w:tc>
        <w:tc>
          <w:tcPr>
            <w:tcW w:w="3180" w:type="dxa"/>
            <w:tcMar>
              <w:top w:w="0" w:type="dxa"/>
              <w:bottom w:w="0" w:type="dxa"/>
            </w:tcMar>
            <w:vAlign w:val="center"/>
          </w:tcPr>
          <w:p w14:paraId="1406ADEF" w14:textId="77777777" w:rsidR="00680D31" w:rsidRDefault="0000000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5F4B6E15" w14:textId="77777777" w:rsidR="00680D31" w:rsidRDefault="00000000">
            <w:pPr>
              <w:keepNext/>
              <w:keepLines/>
              <w:spacing w:after="0" w:line="240" w:lineRule="auto"/>
            </w:pPr>
            <w:r>
              <w:rPr>
                <w:sz w:val="18"/>
              </w:rPr>
              <w:t>16721</w:t>
            </w:r>
          </w:p>
        </w:tc>
        <w:tc>
          <w:tcPr>
            <w:tcW w:w="1860" w:type="dxa"/>
            <w:tcMar>
              <w:top w:w="0" w:type="dxa"/>
              <w:bottom w:w="0" w:type="dxa"/>
            </w:tcMar>
            <w:vAlign w:val="center"/>
          </w:tcPr>
          <w:p w14:paraId="6BCB07AC" w14:textId="77777777" w:rsidR="00680D31" w:rsidRDefault="00000000">
            <w:pPr>
              <w:keepNext/>
              <w:keepLines/>
              <w:spacing w:after="0" w:line="240" w:lineRule="auto"/>
              <w:jc w:val="right"/>
            </w:pPr>
            <w:r>
              <w:rPr>
                <w:sz w:val="18"/>
              </w:rPr>
              <w:t>6.013,65</w:t>
            </w:r>
          </w:p>
        </w:tc>
        <w:tc>
          <w:tcPr>
            <w:tcW w:w="1860" w:type="dxa"/>
            <w:tcMar>
              <w:top w:w="0" w:type="dxa"/>
              <w:bottom w:w="0" w:type="dxa"/>
            </w:tcMar>
            <w:vAlign w:val="center"/>
          </w:tcPr>
          <w:p w14:paraId="66F24ED6" w14:textId="77777777" w:rsidR="00680D31" w:rsidRDefault="00000000">
            <w:pPr>
              <w:keepNext/>
              <w:keepLines/>
              <w:spacing w:after="0" w:line="240" w:lineRule="auto"/>
              <w:jc w:val="right"/>
            </w:pPr>
            <w:r>
              <w:rPr>
                <w:sz w:val="18"/>
              </w:rPr>
              <w:t>25.701,80</w:t>
            </w:r>
          </w:p>
        </w:tc>
        <w:tc>
          <w:tcPr>
            <w:tcW w:w="700" w:type="dxa"/>
            <w:tcMar>
              <w:top w:w="0" w:type="dxa"/>
              <w:bottom w:w="0" w:type="dxa"/>
            </w:tcMar>
            <w:vAlign w:val="center"/>
          </w:tcPr>
          <w:p w14:paraId="78C76398" w14:textId="77777777" w:rsidR="00680D31" w:rsidRDefault="00000000">
            <w:pPr>
              <w:keepNext/>
              <w:keepLines/>
              <w:spacing w:after="0" w:line="240" w:lineRule="auto"/>
              <w:jc w:val="right"/>
            </w:pPr>
            <w:r>
              <w:rPr>
                <w:sz w:val="18"/>
              </w:rPr>
              <w:t>427,4</w:t>
            </w:r>
          </w:p>
        </w:tc>
      </w:tr>
    </w:tbl>
    <w:p w14:paraId="2DBCD63A" w14:textId="77777777" w:rsidR="00680D31" w:rsidRDefault="00680D31">
      <w:pPr>
        <w:spacing w:after="0"/>
      </w:pPr>
    </w:p>
    <w:p w14:paraId="40732791" w14:textId="77777777" w:rsidR="00680D31" w:rsidRDefault="00000000">
      <w:r>
        <w:t>Povećanje u 2025. god. zbog većih neplaćenih obveza iz vlastitih prihoda i pomoći.      </w:t>
      </w:r>
    </w:p>
    <w:p w14:paraId="1CC1BDDE" w14:textId="77777777" w:rsidR="00680D31" w:rsidRDefault="00680D31"/>
    <w:p w14:paraId="4F9DBF78" w14:textId="77777777" w:rsidR="00680D31"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03A585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C745EB"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D234B9"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3D4380"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33202"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B24C85"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2E6354" w14:textId="77777777" w:rsidR="00680D31" w:rsidRDefault="00000000">
            <w:pPr>
              <w:keepNext/>
              <w:keepLines/>
              <w:spacing w:after="0" w:line="240" w:lineRule="auto"/>
              <w:jc w:val="center"/>
            </w:pPr>
            <w:r>
              <w:rPr>
                <w:b/>
                <w:sz w:val="18"/>
              </w:rPr>
              <w:t>Indeks (%)</w:t>
            </w:r>
          </w:p>
        </w:tc>
      </w:tr>
      <w:tr w:rsidR="00680D31" w14:paraId="43DE5779" w14:textId="77777777">
        <w:tblPrEx>
          <w:tblCellMar>
            <w:top w:w="0" w:type="dxa"/>
            <w:bottom w:w="0" w:type="dxa"/>
          </w:tblCellMar>
        </w:tblPrEx>
        <w:trPr>
          <w:cantSplit/>
          <w:trHeight w:val="560"/>
        </w:trPr>
        <w:tc>
          <w:tcPr>
            <w:tcW w:w="700" w:type="dxa"/>
            <w:tcMar>
              <w:top w:w="0" w:type="dxa"/>
              <w:bottom w:w="0" w:type="dxa"/>
            </w:tcMar>
            <w:vAlign w:val="center"/>
          </w:tcPr>
          <w:p w14:paraId="00042B90" w14:textId="77777777" w:rsidR="00680D31" w:rsidRDefault="00000000">
            <w:pPr>
              <w:keepNext/>
              <w:keepLines/>
              <w:spacing w:after="0" w:line="240" w:lineRule="auto"/>
            </w:pPr>
            <w:r>
              <w:rPr>
                <w:sz w:val="18"/>
              </w:rPr>
              <w:t>dio 24</w:t>
            </w:r>
          </w:p>
        </w:tc>
        <w:tc>
          <w:tcPr>
            <w:tcW w:w="3180" w:type="dxa"/>
            <w:tcMar>
              <w:top w:w="0" w:type="dxa"/>
              <w:bottom w:w="0" w:type="dxa"/>
            </w:tcMar>
            <w:vAlign w:val="center"/>
          </w:tcPr>
          <w:p w14:paraId="3B07DE06" w14:textId="77777777" w:rsidR="00680D31"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37DD5430" w14:textId="77777777" w:rsidR="00680D31" w:rsidRDefault="00000000">
            <w:pPr>
              <w:keepNext/>
              <w:keepLines/>
              <w:spacing w:after="0" w:line="240" w:lineRule="auto"/>
            </w:pPr>
            <w:r>
              <w:rPr>
                <w:sz w:val="18"/>
              </w:rPr>
              <w:t>dio 24 N</w:t>
            </w:r>
          </w:p>
        </w:tc>
        <w:tc>
          <w:tcPr>
            <w:tcW w:w="1860" w:type="dxa"/>
            <w:tcMar>
              <w:top w:w="0" w:type="dxa"/>
              <w:bottom w:w="0" w:type="dxa"/>
            </w:tcMar>
            <w:vAlign w:val="center"/>
          </w:tcPr>
          <w:p w14:paraId="40F38C21" w14:textId="77777777" w:rsidR="00680D31" w:rsidRDefault="00000000">
            <w:pPr>
              <w:keepNext/>
              <w:keepLines/>
              <w:spacing w:after="0" w:line="240" w:lineRule="auto"/>
              <w:jc w:val="right"/>
            </w:pPr>
            <w:r>
              <w:rPr>
                <w:sz w:val="18"/>
              </w:rPr>
              <w:t>3.314,40</w:t>
            </w:r>
          </w:p>
        </w:tc>
        <w:tc>
          <w:tcPr>
            <w:tcW w:w="1860" w:type="dxa"/>
            <w:tcMar>
              <w:top w:w="0" w:type="dxa"/>
              <w:bottom w:w="0" w:type="dxa"/>
            </w:tcMar>
            <w:vAlign w:val="center"/>
          </w:tcPr>
          <w:p w14:paraId="5A53ADE5" w14:textId="77777777" w:rsidR="00680D31" w:rsidRDefault="00000000">
            <w:pPr>
              <w:keepNext/>
              <w:keepLines/>
              <w:spacing w:after="0" w:line="240" w:lineRule="auto"/>
              <w:jc w:val="right"/>
            </w:pPr>
            <w:r>
              <w:rPr>
                <w:sz w:val="18"/>
              </w:rPr>
              <w:t>81.876,57</w:t>
            </w:r>
          </w:p>
        </w:tc>
        <w:tc>
          <w:tcPr>
            <w:tcW w:w="700" w:type="dxa"/>
            <w:tcMar>
              <w:top w:w="0" w:type="dxa"/>
              <w:bottom w:w="0" w:type="dxa"/>
            </w:tcMar>
            <w:vAlign w:val="center"/>
          </w:tcPr>
          <w:p w14:paraId="57431736" w14:textId="77777777" w:rsidR="00680D31" w:rsidRDefault="00000000">
            <w:pPr>
              <w:keepNext/>
              <w:keepLines/>
              <w:spacing w:after="0" w:line="240" w:lineRule="auto"/>
              <w:jc w:val="right"/>
            </w:pPr>
            <w:r>
              <w:rPr>
                <w:sz w:val="18"/>
              </w:rPr>
              <w:t>2470,3</w:t>
            </w:r>
          </w:p>
        </w:tc>
      </w:tr>
    </w:tbl>
    <w:p w14:paraId="43CE832A" w14:textId="77777777" w:rsidR="00680D31" w:rsidRDefault="00680D31">
      <w:pPr>
        <w:spacing w:after="0"/>
      </w:pPr>
    </w:p>
    <w:p w14:paraId="648AC3AA" w14:textId="77777777" w:rsidR="00680D31" w:rsidRDefault="00000000">
      <w:r>
        <w:t>U tekućem razdoblju više je neplaćenih računa za nabavu imovine sukladno dinamici dospijeća računa i njihovom plaćanju.</w:t>
      </w:r>
    </w:p>
    <w:p w14:paraId="3A812FB1" w14:textId="77777777" w:rsidR="00680D31" w:rsidRDefault="00680D31"/>
    <w:p w14:paraId="090F7877" w14:textId="77777777" w:rsidR="00680D31"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0415B0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8D1492"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5AE661"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44D9B4"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608649"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0C8BB1"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57D1BA" w14:textId="77777777" w:rsidR="00680D31" w:rsidRDefault="00000000">
            <w:pPr>
              <w:keepNext/>
              <w:keepLines/>
              <w:spacing w:after="0" w:line="240" w:lineRule="auto"/>
              <w:jc w:val="center"/>
            </w:pPr>
            <w:r>
              <w:rPr>
                <w:b/>
                <w:sz w:val="18"/>
              </w:rPr>
              <w:t>Indeks (%)</w:t>
            </w:r>
          </w:p>
        </w:tc>
      </w:tr>
      <w:tr w:rsidR="00680D31" w14:paraId="7023CC40" w14:textId="77777777">
        <w:tblPrEx>
          <w:tblCellMar>
            <w:top w:w="0" w:type="dxa"/>
            <w:bottom w:w="0" w:type="dxa"/>
          </w:tblCellMar>
        </w:tblPrEx>
        <w:trPr>
          <w:cantSplit/>
          <w:trHeight w:val="560"/>
        </w:trPr>
        <w:tc>
          <w:tcPr>
            <w:tcW w:w="700" w:type="dxa"/>
            <w:tcMar>
              <w:top w:w="0" w:type="dxa"/>
              <w:bottom w:w="0" w:type="dxa"/>
            </w:tcMar>
            <w:vAlign w:val="center"/>
          </w:tcPr>
          <w:p w14:paraId="4F3049B6" w14:textId="77777777" w:rsidR="00680D31" w:rsidRDefault="00000000">
            <w:pPr>
              <w:keepNext/>
              <w:keepLines/>
              <w:spacing w:after="0" w:line="240" w:lineRule="auto"/>
            </w:pPr>
            <w:r>
              <w:rPr>
                <w:sz w:val="18"/>
              </w:rPr>
              <w:t>99641</w:t>
            </w:r>
          </w:p>
        </w:tc>
        <w:tc>
          <w:tcPr>
            <w:tcW w:w="3180" w:type="dxa"/>
            <w:tcMar>
              <w:top w:w="0" w:type="dxa"/>
              <w:bottom w:w="0" w:type="dxa"/>
            </w:tcMar>
            <w:vAlign w:val="center"/>
          </w:tcPr>
          <w:p w14:paraId="0A88A303" w14:textId="77777777" w:rsidR="00680D31"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36E2600A" w14:textId="77777777" w:rsidR="00680D31" w:rsidRDefault="00000000">
            <w:pPr>
              <w:keepNext/>
              <w:keepLines/>
              <w:spacing w:after="0" w:line="240" w:lineRule="auto"/>
            </w:pPr>
            <w:r>
              <w:rPr>
                <w:sz w:val="18"/>
              </w:rPr>
              <w:t>99641</w:t>
            </w:r>
          </w:p>
        </w:tc>
        <w:tc>
          <w:tcPr>
            <w:tcW w:w="1860" w:type="dxa"/>
            <w:tcMar>
              <w:top w:w="0" w:type="dxa"/>
              <w:bottom w:w="0" w:type="dxa"/>
            </w:tcMar>
            <w:vAlign w:val="center"/>
          </w:tcPr>
          <w:p w14:paraId="258B3115"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67E6B71C" w14:textId="77777777" w:rsidR="00680D31" w:rsidRDefault="00000000">
            <w:pPr>
              <w:keepNext/>
              <w:keepLines/>
              <w:spacing w:after="0" w:line="240" w:lineRule="auto"/>
              <w:jc w:val="right"/>
            </w:pPr>
            <w:r>
              <w:rPr>
                <w:sz w:val="18"/>
              </w:rPr>
              <w:t>34.121,74</w:t>
            </w:r>
          </w:p>
        </w:tc>
        <w:tc>
          <w:tcPr>
            <w:tcW w:w="700" w:type="dxa"/>
            <w:tcMar>
              <w:top w:w="0" w:type="dxa"/>
              <w:bottom w:w="0" w:type="dxa"/>
            </w:tcMar>
            <w:vAlign w:val="center"/>
          </w:tcPr>
          <w:p w14:paraId="190BAE20" w14:textId="77777777" w:rsidR="00680D31" w:rsidRDefault="00000000">
            <w:pPr>
              <w:keepNext/>
              <w:keepLines/>
              <w:spacing w:after="0" w:line="240" w:lineRule="auto"/>
              <w:jc w:val="right"/>
            </w:pPr>
            <w:r>
              <w:rPr>
                <w:sz w:val="18"/>
              </w:rPr>
              <w:t>-</w:t>
            </w:r>
          </w:p>
        </w:tc>
      </w:tr>
    </w:tbl>
    <w:p w14:paraId="285FB028" w14:textId="77777777" w:rsidR="00680D31" w:rsidRDefault="00680D31">
      <w:pPr>
        <w:spacing w:after="0"/>
      </w:pPr>
    </w:p>
    <w:p w14:paraId="79F5C093" w14:textId="77777777" w:rsidR="00680D31" w:rsidRDefault="00000000">
      <w:r>
        <w:t>Odnosi se na bankovne garancije za uredno izvršenje ugovora o izvođenju građevinskih radova.</w:t>
      </w:r>
    </w:p>
    <w:p w14:paraId="63E9C3A2" w14:textId="77777777" w:rsidR="00680D31" w:rsidRDefault="00680D31"/>
    <w:p w14:paraId="1A02FDFD" w14:textId="77777777" w:rsidR="00680D31"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FE3B2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D6881B"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3072A9"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BAB2A"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D24812" w14:textId="77777777" w:rsidR="00680D3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239DE7" w14:textId="77777777" w:rsidR="00680D3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6D65B5" w14:textId="77777777" w:rsidR="00680D31" w:rsidRDefault="00000000">
            <w:pPr>
              <w:keepNext/>
              <w:keepLines/>
              <w:spacing w:after="0" w:line="240" w:lineRule="auto"/>
              <w:jc w:val="center"/>
            </w:pPr>
            <w:r>
              <w:rPr>
                <w:b/>
                <w:sz w:val="18"/>
              </w:rPr>
              <w:t>Indeks (%)</w:t>
            </w:r>
          </w:p>
        </w:tc>
      </w:tr>
      <w:tr w:rsidR="00680D31" w14:paraId="3DFE616B" w14:textId="77777777">
        <w:tblPrEx>
          <w:tblCellMar>
            <w:top w:w="0" w:type="dxa"/>
            <w:bottom w:w="0" w:type="dxa"/>
          </w:tblCellMar>
        </w:tblPrEx>
        <w:trPr>
          <w:cantSplit/>
          <w:trHeight w:val="560"/>
        </w:trPr>
        <w:tc>
          <w:tcPr>
            <w:tcW w:w="700" w:type="dxa"/>
            <w:tcMar>
              <w:top w:w="0" w:type="dxa"/>
              <w:bottom w:w="0" w:type="dxa"/>
            </w:tcMar>
            <w:vAlign w:val="center"/>
          </w:tcPr>
          <w:p w14:paraId="1D508CAB" w14:textId="77777777" w:rsidR="00680D31" w:rsidRDefault="00000000">
            <w:pPr>
              <w:keepNext/>
              <w:keepLines/>
              <w:spacing w:after="0" w:line="240" w:lineRule="auto"/>
            </w:pPr>
            <w:r>
              <w:rPr>
                <w:sz w:val="18"/>
              </w:rPr>
              <w:t>99652</w:t>
            </w:r>
          </w:p>
        </w:tc>
        <w:tc>
          <w:tcPr>
            <w:tcW w:w="3180" w:type="dxa"/>
            <w:tcMar>
              <w:top w:w="0" w:type="dxa"/>
              <w:bottom w:w="0" w:type="dxa"/>
            </w:tcMar>
            <w:vAlign w:val="center"/>
          </w:tcPr>
          <w:p w14:paraId="36313631" w14:textId="77777777" w:rsidR="00680D31"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18F8C6E0" w14:textId="77777777" w:rsidR="00680D31" w:rsidRDefault="00000000">
            <w:pPr>
              <w:keepNext/>
              <w:keepLines/>
              <w:spacing w:after="0" w:line="240" w:lineRule="auto"/>
            </w:pPr>
            <w:r>
              <w:rPr>
                <w:sz w:val="18"/>
              </w:rPr>
              <w:t>99652</w:t>
            </w:r>
          </w:p>
        </w:tc>
        <w:tc>
          <w:tcPr>
            <w:tcW w:w="1860" w:type="dxa"/>
            <w:tcMar>
              <w:top w:w="0" w:type="dxa"/>
              <w:bottom w:w="0" w:type="dxa"/>
            </w:tcMar>
            <w:vAlign w:val="center"/>
          </w:tcPr>
          <w:p w14:paraId="1AF24762"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5BA9436E" w14:textId="77777777" w:rsidR="00680D31" w:rsidRDefault="00000000">
            <w:pPr>
              <w:keepNext/>
              <w:keepLines/>
              <w:spacing w:after="0" w:line="240" w:lineRule="auto"/>
              <w:jc w:val="right"/>
            </w:pPr>
            <w:r>
              <w:rPr>
                <w:sz w:val="18"/>
              </w:rPr>
              <w:t>8.125,00</w:t>
            </w:r>
          </w:p>
        </w:tc>
        <w:tc>
          <w:tcPr>
            <w:tcW w:w="700" w:type="dxa"/>
            <w:tcMar>
              <w:top w:w="0" w:type="dxa"/>
              <w:bottom w:w="0" w:type="dxa"/>
            </w:tcMar>
            <w:vAlign w:val="center"/>
          </w:tcPr>
          <w:p w14:paraId="078CC215" w14:textId="77777777" w:rsidR="00680D31" w:rsidRDefault="00000000">
            <w:pPr>
              <w:keepNext/>
              <w:keepLines/>
              <w:spacing w:after="0" w:line="240" w:lineRule="auto"/>
              <w:jc w:val="right"/>
            </w:pPr>
            <w:r>
              <w:rPr>
                <w:sz w:val="18"/>
              </w:rPr>
              <w:t>-</w:t>
            </w:r>
          </w:p>
        </w:tc>
      </w:tr>
    </w:tbl>
    <w:p w14:paraId="62EC0BC7" w14:textId="77777777" w:rsidR="00680D31" w:rsidRDefault="00680D31">
      <w:pPr>
        <w:spacing w:after="0"/>
      </w:pPr>
    </w:p>
    <w:p w14:paraId="148CBD31" w14:textId="77777777" w:rsidR="00680D31" w:rsidRDefault="00000000">
      <w:r>
        <w:t>Odnosi se na preuzete obveze po ugovorima koji zahtijevaju plaćanja u idućim razdobljima.</w:t>
      </w:r>
    </w:p>
    <w:p w14:paraId="7642C9DA" w14:textId="77777777" w:rsidR="00680D31" w:rsidRDefault="00680D31"/>
    <w:p w14:paraId="7B46B437" w14:textId="77777777" w:rsidR="00680D31" w:rsidRDefault="00000000">
      <w:pPr>
        <w:keepNext/>
        <w:spacing w:line="240" w:lineRule="auto"/>
        <w:jc w:val="center"/>
      </w:pPr>
      <w:r>
        <w:rPr>
          <w:b/>
          <w:sz w:val="28"/>
        </w:rPr>
        <w:lastRenderedPageBreak/>
        <w:t>Izvještaj o rashodima prema funkcijskoj klasifikaciji</w:t>
      </w:r>
    </w:p>
    <w:p w14:paraId="627CA447" w14:textId="77777777" w:rsidR="00680D31"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3381A6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73333"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340B96"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AD4E16"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997E9B" w14:textId="77777777" w:rsidR="00680D3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9AC744" w14:textId="77777777" w:rsidR="00680D3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DB5612" w14:textId="77777777" w:rsidR="00680D31" w:rsidRDefault="00000000">
            <w:pPr>
              <w:keepNext/>
              <w:keepLines/>
              <w:spacing w:after="0" w:line="240" w:lineRule="auto"/>
              <w:jc w:val="center"/>
            </w:pPr>
            <w:r>
              <w:rPr>
                <w:b/>
                <w:sz w:val="18"/>
              </w:rPr>
              <w:t>Indeks (%)</w:t>
            </w:r>
          </w:p>
        </w:tc>
      </w:tr>
      <w:tr w:rsidR="00680D31" w14:paraId="59A85DB4" w14:textId="77777777">
        <w:tblPrEx>
          <w:tblCellMar>
            <w:top w:w="0" w:type="dxa"/>
            <w:bottom w:w="0" w:type="dxa"/>
          </w:tblCellMar>
        </w:tblPrEx>
        <w:trPr>
          <w:cantSplit/>
          <w:trHeight w:val="560"/>
        </w:trPr>
        <w:tc>
          <w:tcPr>
            <w:tcW w:w="700" w:type="dxa"/>
            <w:tcMar>
              <w:top w:w="0" w:type="dxa"/>
              <w:bottom w:w="0" w:type="dxa"/>
            </w:tcMar>
            <w:vAlign w:val="center"/>
          </w:tcPr>
          <w:p w14:paraId="0FD43B40" w14:textId="77777777" w:rsidR="00680D31" w:rsidRDefault="00000000">
            <w:pPr>
              <w:keepNext/>
              <w:keepLines/>
              <w:spacing w:after="0" w:line="240" w:lineRule="auto"/>
            </w:pPr>
            <w:r>
              <w:rPr>
                <w:sz w:val="18"/>
              </w:rPr>
              <w:t>082</w:t>
            </w:r>
          </w:p>
        </w:tc>
        <w:tc>
          <w:tcPr>
            <w:tcW w:w="3180" w:type="dxa"/>
            <w:tcMar>
              <w:top w:w="0" w:type="dxa"/>
              <w:bottom w:w="0" w:type="dxa"/>
            </w:tcMar>
            <w:vAlign w:val="center"/>
          </w:tcPr>
          <w:p w14:paraId="5BF1C7BC" w14:textId="77777777" w:rsidR="00680D31" w:rsidRDefault="00000000">
            <w:pPr>
              <w:keepNext/>
              <w:keepLines/>
              <w:spacing w:after="0" w:line="240" w:lineRule="auto"/>
            </w:pPr>
            <w:r>
              <w:rPr>
                <w:sz w:val="18"/>
              </w:rPr>
              <w:t>Službe kulture</w:t>
            </w:r>
          </w:p>
        </w:tc>
        <w:tc>
          <w:tcPr>
            <w:tcW w:w="700" w:type="dxa"/>
            <w:tcMar>
              <w:top w:w="0" w:type="dxa"/>
              <w:bottom w:w="0" w:type="dxa"/>
            </w:tcMar>
            <w:vAlign w:val="center"/>
          </w:tcPr>
          <w:p w14:paraId="65886E0E" w14:textId="77777777" w:rsidR="00680D31" w:rsidRDefault="00000000">
            <w:pPr>
              <w:keepNext/>
              <w:keepLines/>
              <w:spacing w:after="0" w:line="240" w:lineRule="auto"/>
            </w:pPr>
            <w:r>
              <w:rPr>
                <w:sz w:val="18"/>
              </w:rPr>
              <w:t>082</w:t>
            </w:r>
          </w:p>
        </w:tc>
        <w:tc>
          <w:tcPr>
            <w:tcW w:w="1860" w:type="dxa"/>
            <w:tcMar>
              <w:top w:w="0" w:type="dxa"/>
              <w:bottom w:w="0" w:type="dxa"/>
            </w:tcMar>
            <w:vAlign w:val="center"/>
          </w:tcPr>
          <w:p w14:paraId="3DF30B78" w14:textId="77777777" w:rsidR="00680D31" w:rsidRDefault="00000000">
            <w:pPr>
              <w:keepNext/>
              <w:keepLines/>
              <w:spacing w:after="0" w:line="240" w:lineRule="auto"/>
              <w:jc w:val="right"/>
            </w:pPr>
            <w:r>
              <w:rPr>
                <w:sz w:val="18"/>
              </w:rPr>
              <w:t>707.226,36</w:t>
            </w:r>
          </w:p>
        </w:tc>
        <w:tc>
          <w:tcPr>
            <w:tcW w:w="1860" w:type="dxa"/>
            <w:tcMar>
              <w:top w:w="0" w:type="dxa"/>
              <w:bottom w:w="0" w:type="dxa"/>
            </w:tcMar>
            <w:vAlign w:val="center"/>
          </w:tcPr>
          <w:p w14:paraId="300BC227" w14:textId="77777777" w:rsidR="00680D31" w:rsidRDefault="00000000">
            <w:pPr>
              <w:keepNext/>
              <w:keepLines/>
              <w:spacing w:after="0" w:line="240" w:lineRule="auto"/>
              <w:jc w:val="right"/>
            </w:pPr>
            <w:r>
              <w:rPr>
                <w:sz w:val="18"/>
              </w:rPr>
              <w:t>467.950,75</w:t>
            </w:r>
          </w:p>
        </w:tc>
        <w:tc>
          <w:tcPr>
            <w:tcW w:w="700" w:type="dxa"/>
            <w:tcMar>
              <w:top w:w="0" w:type="dxa"/>
              <w:bottom w:w="0" w:type="dxa"/>
            </w:tcMar>
            <w:vAlign w:val="center"/>
          </w:tcPr>
          <w:p w14:paraId="4E24178D" w14:textId="77777777" w:rsidR="00680D31" w:rsidRDefault="00000000">
            <w:pPr>
              <w:keepNext/>
              <w:keepLines/>
              <w:spacing w:after="0" w:line="240" w:lineRule="auto"/>
              <w:jc w:val="right"/>
            </w:pPr>
            <w:r>
              <w:rPr>
                <w:sz w:val="18"/>
              </w:rPr>
              <w:t>66,2</w:t>
            </w:r>
          </w:p>
        </w:tc>
      </w:tr>
    </w:tbl>
    <w:p w14:paraId="2B1FA84B" w14:textId="77777777" w:rsidR="00680D31" w:rsidRDefault="00680D31">
      <w:pPr>
        <w:spacing w:after="0"/>
      </w:pPr>
    </w:p>
    <w:p w14:paraId="78882048" w14:textId="77777777" w:rsidR="00680D31" w:rsidRDefault="00000000">
      <w:r>
        <w:t>Sukladno većim rashodima za nabavu nefinancijske imovine vezano uz adaptaciju zgrade, rashodi su veći u 2024. god.</w:t>
      </w:r>
    </w:p>
    <w:p w14:paraId="194B5E99" w14:textId="77777777" w:rsidR="00680D31" w:rsidRDefault="00680D31"/>
    <w:p w14:paraId="7B78D18B" w14:textId="77777777" w:rsidR="00680D31" w:rsidRDefault="00000000">
      <w:pPr>
        <w:keepNext/>
        <w:spacing w:line="240" w:lineRule="auto"/>
        <w:jc w:val="center"/>
      </w:pPr>
      <w:r>
        <w:rPr>
          <w:b/>
          <w:sz w:val="28"/>
        </w:rPr>
        <w:t>Promjene u vrijednosti i obujmu imovine i obveza</w:t>
      </w:r>
    </w:p>
    <w:p w14:paraId="650BCA03" w14:textId="77777777" w:rsidR="00680D31"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80D31" w14:paraId="4B22C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1D37F"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2B7306"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87662"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27934" w14:textId="77777777" w:rsidR="00680D3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7C06D13" w14:textId="77777777" w:rsidR="00680D3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C2539AF" w14:textId="77777777" w:rsidR="00680D31" w:rsidRDefault="00000000">
            <w:pPr>
              <w:keepNext/>
              <w:keepLines/>
              <w:spacing w:after="0" w:line="240" w:lineRule="auto"/>
              <w:jc w:val="center"/>
            </w:pPr>
            <w:r>
              <w:rPr>
                <w:b/>
                <w:sz w:val="18"/>
              </w:rPr>
              <w:t>Indeks (%)</w:t>
            </w:r>
          </w:p>
        </w:tc>
      </w:tr>
      <w:tr w:rsidR="00680D31" w14:paraId="310161A4" w14:textId="77777777">
        <w:tblPrEx>
          <w:tblCellMar>
            <w:top w:w="0" w:type="dxa"/>
            <w:bottom w:w="0" w:type="dxa"/>
          </w:tblCellMar>
        </w:tblPrEx>
        <w:trPr>
          <w:cantSplit/>
          <w:trHeight w:val="560"/>
        </w:trPr>
        <w:tc>
          <w:tcPr>
            <w:tcW w:w="700" w:type="dxa"/>
            <w:tcMar>
              <w:top w:w="0" w:type="dxa"/>
              <w:bottom w:w="0" w:type="dxa"/>
            </w:tcMar>
            <w:vAlign w:val="center"/>
          </w:tcPr>
          <w:p w14:paraId="10809B68" w14:textId="77777777" w:rsidR="00680D31" w:rsidRDefault="00680D31">
            <w:pPr>
              <w:keepNext/>
              <w:keepLines/>
              <w:spacing w:after="0" w:line="240" w:lineRule="auto"/>
            </w:pPr>
          </w:p>
        </w:tc>
        <w:tc>
          <w:tcPr>
            <w:tcW w:w="3180" w:type="dxa"/>
            <w:tcMar>
              <w:top w:w="0" w:type="dxa"/>
              <w:bottom w:w="0" w:type="dxa"/>
            </w:tcMar>
            <w:vAlign w:val="center"/>
          </w:tcPr>
          <w:p w14:paraId="30D6A572" w14:textId="77777777" w:rsidR="00680D31"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3595D6E3" w14:textId="77777777" w:rsidR="00680D31" w:rsidRDefault="00000000">
            <w:pPr>
              <w:keepNext/>
              <w:keepLines/>
              <w:spacing w:after="0" w:line="240" w:lineRule="auto"/>
            </w:pPr>
            <w:r>
              <w:rPr>
                <w:sz w:val="18"/>
              </w:rPr>
              <w:t>P003</w:t>
            </w:r>
          </w:p>
        </w:tc>
        <w:tc>
          <w:tcPr>
            <w:tcW w:w="1860" w:type="dxa"/>
            <w:tcMar>
              <w:top w:w="0" w:type="dxa"/>
              <w:bottom w:w="0" w:type="dxa"/>
            </w:tcMar>
            <w:vAlign w:val="center"/>
          </w:tcPr>
          <w:p w14:paraId="50619F73" w14:textId="77777777" w:rsidR="00680D31" w:rsidRDefault="00000000">
            <w:pPr>
              <w:keepNext/>
              <w:keepLines/>
              <w:spacing w:after="0" w:line="240" w:lineRule="auto"/>
              <w:jc w:val="right"/>
            </w:pPr>
            <w:r>
              <w:rPr>
                <w:sz w:val="18"/>
              </w:rPr>
              <w:t>0,00</w:t>
            </w:r>
          </w:p>
        </w:tc>
        <w:tc>
          <w:tcPr>
            <w:tcW w:w="1860" w:type="dxa"/>
            <w:tcMar>
              <w:top w:w="0" w:type="dxa"/>
              <w:bottom w:w="0" w:type="dxa"/>
            </w:tcMar>
            <w:vAlign w:val="center"/>
          </w:tcPr>
          <w:p w14:paraId="4C2EE893" w14:textId="77777777" w:rsidR="00680D31" w:rsidRDefault="00000000">
            <w:pPr>
              <w:keepNext/>
              <w:keepLines/>
              <w:spacing w:after="0" w:line="240" w:lineRule="auto"/>
              <w:jc w:val="right"/>
            </w:pPr>
            <w:r>
              <w:rPr>
                <w:sz w:val="18"/>
              </w:rPr>
              <w:t>47.147,74</w:t>
            </w:r>
          </w:p>
        </w:tc>
        <w:tc>
          <w:tcPr>
            <w:tcW w:w="700" w:type="dxa"/>
            <w:tcMar>
              <w:top w:w="0" w:type="dxa"/>
              <w:bottom w:w="0" w:type="dxa"/>
            </w:tcMar>
            <w:vAlign w:val="center"/>
          </w:tcPr>
          <w:p w14:paraId="3E9D3B86" w14:textId="77777777" w:rsidR="00680D31" w:rsidRDefault="00000000">
            <w:pPr>
              <w:keepNext/>
              <w:keepLines/>
              <w:spacing w:after="0" w:line="240" w:lineRule="auto"/>
              <w:jc w:val="right"/>
            </w:pPr>
            <w:r>
              <w:rPr>
                <w:sz w:val="18"/>
              </w:rPr>
              <w:t>-</w:t>
            </w:r>
          </w:p>
        </w:tc>
      </w:tr>
    </w:tbl>
    <w:p w14:paraId="1D0BA1E1" w14:textId="77777777" w:rsidR="00680D31" w:rsidRDefault="00680D31">
      <w:pPr>
        <w:spacing w:after="0"/>
      </w:pPr>
    </w:p>
    <w:p w14:paraId="624DEB49" w14:textId="77777777" w:rsidR="00680D31" w:rsidRDefault="00000000">
      <w:r>
        <w:t>Iznos smanjenja odnosi se na amortizaciju proizvedene dugotrajne imovine u 2025. god. (proveden je ispravak vrijednosti).</w:t>
      </w:r>
    </w:p>
    <w:p w14:paraId="62483259" w14:textId="77777777" w:rsidR="00680D31" w:rsidRDefault="00680D31"/>
    <w:p w14:paraId="06C07094" w14:textId="77777777" w:rsidR="00680D31" w:rsidRDefault="00000000">
      <w:pPr>
        <w:keepNext/>
        <w:spacing w:line="240" w:lineRule="auto"/>
        <w:jc w:val="center"/>
      </w:pPr>
      <w:r>
        <w:rPr>
          <w:b/>
          <w:sz w:val="28"/>
        </w:rPr>
        <w:t>Izvještaj o obvezama</w:t>
      </w:r>
    </w:p>
    <w:p w14:paraId="1FAB94FD" w14:textId="77777777" w:rsidR="00680D31"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80D31" w14:paraId="6D66F2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7F82BB"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C70B15"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012BF3"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FFE4EA" w14:textId="77777777" w:rsidR="00680D3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FDC477" w14:textId="77777777" w:rsidR="00680D31" w:rsidRDefault="00000000">
            <w:pPr>
              <w:keepNext/>
              <w:keepLines/>
              <w:spacing w:after="0" w:line="240" w:lineRule="auto"/>
              <w:jc w:val="center"/>
            </w:pPr>
            <w:r>
              <w:rPr>
                <w:b/>
                <w:sz w:val="18"/>
              </w:rPr>
              <w:t>Indeks (%)</w:t>
            </w:r>
          </w:p>
        </w:tc>
      </w:tr>
      <w:tr w:rsidR="00680D31" w14:paraId="174A4939" w14:textId="77777777">
        <w:tblPrEx>
          <w:tblCellMar>
            <w:top w:w="0" w:type="dxa"/>
            <w:bottom w:w="0" w:type="dxa"/>
          </w:tblCellMar>
        </w:tblPrEx>
        <w:trPr>
          <w:cantSplit/>
          <w:trHeight w:val="560"/>
        </w:trPr>
        <w:tc>
          <w:tcPr>
            <w:tcW w:w="700" w:type="dxa"/>
            <w:tcMar>
              <w:top w:w="0" w:type="dxa"/>
              <w:bottom w:w="0" w:type="dxa"/>
            </w:tcMar>
            <w:vAlign w:val="center"/>
          </w:tcPr>
          <w:p w14:paraId="217DA00E" w14:textId="77777777" w:rsidR="00680D31" w:rsidRDefault="00680D31">
            <w:pPr>
              <w:keepNext/>
              <w:keepLines/>
              <w:spacing w:after="0" w:line="240" w:lineRule="auto"/>
            </w:pPr>
          </w:p>
        </w:tc>
        <w:tc>
          <w:tcPr>
            <w:tcW w:w="3180" w:type="dxa"/>
            <w:tcMar>
              <w:top w:w="0" w:type="dxa"/>
              <w:bottom w:w="0" w:type="dxa"/>
            </w:tcMar>
            <w:vAlign w:val="center"/>
          </w:tcPr>
          <w:p w14:paraId="6B71FD0B" w14:textId="77777777" w:rsidR="00680D31"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F058589" w14:textId="77777777" w:rsidR="00680D31" w:rsidRDefault="00000000">
            <w:pPr>
              <w:keepNext/>
              <w:keepLines/>
              <w:spacing w:after="0" w:line="240" w:lineRule="auto"/>
            </w:pPr>
            <w:r>
              <w:rPr>
                <w:sz w:val="18"/>
              </w:rPr>
              <w:t>V001</w:t>
            </w:r>
          </w:p>
        </w:tc>
        <w:tc>
          <w:tcPr>
            <w:tcW w:w="1860" w:type="dxa"/>
            <w:tcMar>
              <w:top w:w="0" w:type="dxa"/>
              <w:bottom w:w="0" w:type="dxa"/>
            </w:tcMar>
            <w:vAlign w:val="center"/>
          </w:tcPr>
          <w:p w14:paraId="61E09A08" w14:textId="77777777" w:rsidR="00680D31" w:rsidRDefault="00000000">
            <w:pPr>
              <w:keepNext/>
              <w:keepLines/>
              <w:spacing w:after="0" w:line="240" w:lineRule="auto"/>
              <w:jc w:val="right"/>
            </w:pPr>
            <w:r>
              <w:rPr>
                <w:sz w:val="18"/>
              </w:rPr>
              <w:t>22.200,19</w:t>
            </w:r>
          </w:p>
        </w:tc>
        <w:tc>
          <w:tcPr>
            <w:tcW w:w="700" w:type="dxa"/>
            <w:tcMar>
              <w:top w:w="0" w:type="dxa"/>
              <w:bottom w:w="0" w:type="dxa"/>
            </w:tcMar>
            <w:vAlign w:val="center"/>
          </w:tcPr>
          <w:p w14:paraId="008206C4" w14:textId="77777777" w:rsidR="00680D31" w:rsidRDefault="00000000">
            <w:pPr>
              <w:keepNext/>
              <w:keepLines/>
              <w:spacing w:after="0" w:line="240" w:lineRule="auto"/>
              <w:jc w:val="right"/>
            </w:pPr>
            <w:r>
              <w:rPr>
                <w:sz w:val="18"/>
              </w:rPr>
              <w:t>-</w:t>
            </w:r>
          </w:p>
        </w:tc>
      </w:tr>
    </w:tbl>
    <w:p w14:paraId="17E7D625" w14:textId="77777777" w:rsidR="00680D31" w:rsidRDefault="00680D31">
      <w:pPr>
        <w:spacing w:after="0"/>
      </w:pPr>
    </w:p>
    <w:p w14:paraId="340EFE87" w14:textId="77777777" w:rsidR="00680D31" w:rsidRDefault="00000000">
      <w:r>
        <w:t>Odgovara iznosu obveza na dan 31.12.2024. god.</w:t>
      </w:r>
    </w:p>
    <w:p w14:paraId="3E476243" w14:textId="77777777" w:rsidR="00680D31" w:rsidRDefault="00680D31"/>
    <w:p w14:paraId="53918509" w14:textId="77777777" w:rsidR="00680D31"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80D31" w14:paraId="63946A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A98097"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B6DDEC"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C81FF"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C3F69E" w14:textId="77777777" w:rsidR="00680D3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D8E34A" w14:textId="77777777" w:rsidR="00680D31" w:rsidRDefault="00000000">
            <w:pPr>
              <w:keepNext/>
              <w:keepLines/>
              <w:spacing w:after="0" w:line="240" w:lineRule="auto"/>
              <w:jc w:val="center"/>
            </w:pPr>
            <w:r>
              <w:rPr>
                <w:b/>
                <w:sz w:val="18"/>
              </w:rPr>
              <w:t>Indeks (%)</w:t>
            </w:r>
          </w:p>
        </w:tc>
      </w:tr>
      <w:tr w:rsidR="00680D31" w14:paraId="26613E69" w14:textId="77777777">
        <w:tblPrEx>
          <w:tblCellMar>
            <w:top w:w="0" w:type="dxa"/>
            <w:bottom w:w="0" w:type="dxa"/>
          </w:tblCellMar>
        </w:tblPrEx>
        <w:trPr>
          <w:cantSplit/>
          <w:trHeight w:val="560"/>
        </w:trPr>
        <w:tc>
          <w:tcPr>
            <w:tcW w:w="700" w:type="dxa"/>
            <w:tcMar>
              <w:top w:w="0" w:type="dxa"/>
              <w:bottom w:w="0" w:type="dxa"/>
            </w:tcMar>
            <w:vAlign w:val="center"/>
          </w:tcPr>
          <w:p w14:paraId="4FBAD19C" w14:textId="77777777" w:rsidR="00680D31" w:rsidRDefault="00680D31">
            <w:pPr>
              <w:keepNext/>
              <w:keepLines/>
              <w:spacing w:after="0" w:line="240" w:lineRule="auto"/>
            </w:pPr>
          </w:p>
        </w:tc>
        <w:tc>
          <w:tcPr>
            <w:tcW w:w="3180" w:type="dxa"/>
            <w:tcMar>
              <w:top w:w="0" w:type="dxa"/>
              <w:bottom w:w="0" w:type="dxa"/>
            </w:tcMar>
            <w:vAlign w:val="center"/>
          </w:tcPr>
          <w:p w14:paraId="4D083885" w14:textId="77777777" w:rsidR="00680D31"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4F6D20E7" w14:textId="77777777" w:rsidR="00680D31" w:rsidRDefault="00000000">
            <w:pPr>
              <w:keepNext/>
              <w:keepLines/>
              <w:spacing w:after="0" w:line="240" w:lineRule="auto"/>
            </w:pPr>
            <w:r>
              <w:rPr>
                <w:sz w:val="18"/>
              </w:rPr>
              <w:t>V003</w:t>
            </w:r>
          </w:p>
        </w:tc>
        <w:tc>
          <w:tcPr>
            <w:tcW w:w="1860" w:type="dxa"/>
            <w:tcMar>
              <w:top w:w="0" w:type="dxa"/>
              <w:bottom w:w="0" w:type="dxa"/>
            </w:tcMar>
            <w:vAlign w:val="center"/>
          </w:tcPr>
          <w:p w14:paraId="28942EE9" w14:textId="77777777" w:rsidR="00680D31" w:rsidRDefault="00000000">
            <w:pPr>
              <w:keepNext/>
              <w:keepLines/>
              <w:spacing w:after="0" w:line="240" w:lineRule="auto"/>
              <w:jc w:val="right"/>
            </w:pPr>
            <w:r>
              <w:rPr>
                <w:sz w:val="18"/>
              </w:rPr>
              <w:t>1.958,25</w:t>
            </w:r>
          </w:p>
        </w:tc>
        <w:tc>
          <w:tcPr>
            <w:tcW w:w="700" w:type="dxa"/>
            <w:tcMar>
              <w:top w:w="0" w:type="dxa"/>
              <w:bottom w:w="0" w:type="dxa"/>
            </w:tcMar>
            <w:vAlign w:val="center"/>
          </w:tcPr>
          <w:p w14:paraId="57D87730" w14:textId="77777777" w:rsidR="00680D31" w:rsidRDefault="00000000">
            <w:pPr>
              <w:keepNext/>
              <w:keepLines/>
              <w:spacing w:after="0" w:line="240" w:lineRule="auto"/>
              <w:jc w:val="right"/>
            </w:pPr>
            <w:r>
              <w:rPr>
                <w:sz w:val="18"/>
              </w:rPr>
              <w:t>-</w:t>
            </w:r>
          </w:p>
        </w:tc>
      </w:tr>
    </w:tbl>
    <w:p w14:paraId="7BA4110A" w14:textId="77777777" w:rsidR="00680D31" w:rsidRDefault="00680D31">
      <w:pPr>
        <w:spacing w:after="0"/>
      </w:pPr>
    </w:p>
    <w:p w14:paraId="602EB719" w14:textId="77777777" w:rsidR="00680D31" w:rsidRDefault="00000000">
      <w:r>
        <w:t>Međusobne obveze proračunskih korisnika odnose se na: </w:t>
      </w:r>
    </w:p>
    <w:p w14:paraId="7B332DB1" w14:textId="77777777" w:rsidR="00680D31" w:rsidRDefault="00000000">
      <w:r>
        <w:t>232 Obveze prema ulaznim računima izdanim od strane proračunskih korisnika i</w:t>
      </w:r>
    </w:p>
    <w:p w14:paraId="756CE9EA" w14:textId="77777777" w:rsidR="00680D31" w:rsidRDefault="00000000">
      <w:r>
        <w:lastRenderedPageBreak/>
        <w:t>27 Obveze proračunskih korisnika za povrat u proračun.</w:t>
      </w:r>
    </w:p>
    <w:p w14:paraId="6E56B7B5" w14:textId="77777777" w:rsidR="00680D31" w:rsidRDefault="00680D31"/>
    <w:p w14:paraId="0FD284C8" w14:textId="77777777" w:rsidR="00680D31"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80D31" w14:paraId="0AFC5D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3CA109"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FA8879"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525843"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10AEB2" w14:textId="77777777" w:rsidR="00680D3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0AD0E4" w14:textId="77777777" w:rsidR="00680D31" w:rsidRDefault="00000000">
            <w:pPr>
              <w:keepNext/>
              <w:keepLines/>
              <w:spacing w:after="0" w:line="240" w:lineRule="auto"/>
              <w:jc w:val="center"/>
            </w:pPr>
            <w:r>
              <w:rPr>
                <w:b/>
                <w:sz w:val="18"/>
              </w:rPr>
              <w:t>Indeks (%)</w:t>
            </w:r>
          </w:p>
        </w:tc>
      </w:tr>
      <w:tr w:rsidR="00680D31" w14:paraId="08CCEBC2" w14:textId="77777777">
        <w:tblPrEx>
          <w:tblCellMar>
            <w:top w:w="0" w:type="dxa"/>
            <w:bottom w:w="0" w:type="dxa"/>
          </w:tblCellMar>
        </w:tblPrEx>
        <w:trPr>
          <w:cantSplit/>
          <w:trHeight w:val="560"/>
        </w:trPr>
        <w:tc>
          <w:tcPr>
            <w:tcW w:w="700" w:type="dxa"/>
            <w:tcMar>
              <w:top w:w="0" w:type="dxa"/>
              <w:bottom w:w="0" w:type="dxa"/>
            </w:tcMar>
            <w:vAlign w:val="center"/>
          </w:tcPr>
          <w:p w14:paraId="0EA81476" w14:textId="77777777" w:rsidR="00680D31" w:rsidRDefault="00680D31">
            <w:pPr>
              <w:keepNext/>
              <w:keepLines/>
              <w:spacing w:after="0" w:line="240" w:lineRule="auto"/>
            </w:pPr>
          </w:p>
        </w:tc>
        <w:tc>
          <w:tcPr>
            <w:tcW w:w="3180" w:type="dxa"/>
            <w:tcMar>
              <w:top w:w="0" w:type="dxa"/>
              <w:bottom w:w="0" w:type="dxa"/>
            </w:tcMar>
            <w:vAlign w:val="center"/>
          </w:tcPr>
          <w:p w14:paraId="6125BE2B" w14:textId="77777777" w:rsidR="00680D31"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7FFD6683" w14:textId="77777777" w:rsidR="00680D31" w:rsidRDefault="00000000">
            <w:pPr>
              <w:keepNext/>
              <w:keepLines/>
              <w:spacing w:after="0" w:line="240" w:lineRule="auto"/>
            </w:pPr>
            <w:r>
              <w:rPr>
                <w:sz w:val="18"/>
              </w:rPr>
              <w:t>V005</w:t>
            </w:r>
          </w:p>
        </w:tc>
        <w:tc>
          <w:tcPr>
            <w:tcW w:w="1860" w:type="dxa"/>
            <w:tcMar>
              <w:top w:w="0" w:type="dxa"/>
              <w:bottom w:w="0" w:type="dxa"/>
            </w:tcMar>
            <w:vAlign w:val="center"/>
          </w:tcPr>
          <w:p w14:paraId="3752A933" w14:textId="77777777" w:rsidR="00680D31" w:rsidRDefault="00000000">
            <w:pPr>
              <w:keepNext/>
              <w:keepLines/>
              <w:spacing w:after="0" w:line="240" w:lineRule="auto"/>
              <w:jc w:val="right"/>
            </w:pPr>
            <w:r>
              <w:rPr>
                <w:sz w:val="18"/>
              </w:rPr>
              <w:t>1.958,24</w:t>
            </w:r>
          </w:p>
        </w:tc>
        <w:tc>
          <w:tcPr>
            <w:tcW w:w="700" w:type="dxa"/>
            <w:tcMar>
              <w:top w:w="0" w:type="dxa"/>
              <w:bottom w:w="0" w:type="dxa"/>
            </w:tcMar>
            <w:vAlign w:val="center"/>
          </w:tcPr>
          <w:p w14:paraId="7931DBDF" w14:textId="77777777" w:rsidR="00680D31" w:rsidRDefault="00000000">
            <w:pPr>
              <w:keepNext/>
              <w:keepLines/>
              <w:spacing w:after="0" w:line="240" w:lineRule="auto"/>
              <w:jc w:val="right"/>
            </w:pPr>
            <w:r>
              <w:rPr>
                <w:sz w:val="18"/>
              </w:rPr>
              <w:t>-</w:t>
            </w:r>
          </w:p>
        </w:tc>
      </w:tr>
    </w:tbl>
    <w:p w14:paraId="387D1AC3" w14:textId="77777777" w:rsidR="00680D31" w:rsidRDefault="00680D31">
      <w:pPr>
        <w:spacing w:after="0"/>
      </w:pPr>
    </w:p>
    <w:p w14:paraId="327887E7" w14:textId="77777777" w:rsidR="00680D31" w:rsidRDefault="00000000">
      <w:r>
        <w:t>Međusobne obveze proračunskih korisnika odnose se na: </w:t>
      </w:r>
    </w:p>
    <w:p w14:paraId="55027352" w14:textId="77777777" w:rsidR="00680D31" w:rsidRDefault="00000000">
      <w:r>
        <w:t>232 Obveze prema ulaznim računima izdanim od strane proračunskih korisnika i</w:t>
      </w:r>
    </w:p>
    <w:p w14:paraId="5A0EF8CA" w14:textId="77777777" w:rsidR="00680D31" w:rsidRDefault="00000000">
      <w:r>
        <w:t>27 Obveze proračunskih korisnika za povrat u proračun.</w:t>
      </w:r>
    </w:p>
    <w:p w14:paraId="0B6B3BB9" w14:textId="77777777" w:rsidR="00680D31" w:rsidRDefault="00680D31"/>
    <w:p w14:paraId="2BDECF9F" w14:textId="77777777" w:rsidR="00680D31"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80D31" w14:paraId="34F893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CFCF12"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47A3E1"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66CD5F"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19F2A" w14:textId="77777777" w:rsidR="00680D3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A3C63A" w14:textId="77777777" w:rsidR="00680D31" w:rsidRDefault="00000000">
            <w:pPr>
              <w:keepNext/>
              <w:keepLines/>
              <w:spacing w:after="0" w:line="240" w:lineRule="auto"/>
              <w:jc w:val="center"/>
            </w:pPr>
            <w:r>
              <w:rPr>
                <w:b/>
                <w:sz w:val="18"/>
              </w:rPr>
              <w:t>Indeks (%)</w:t>
            </w:r>
          </w:p>
        </w:tc>
      </w:tr>
      <w:tr w:rsidR="00680D31" w14:paraId="78D49D36" w14:textId="77777777">
        <w:tblPrEx>
          <w:tblCellMar>
            <w:top w:w="0" w:type="dxa"/>
            <w:bottom w:w="0" w:type="dxa"/>
          </w:tblCellMar>
        </w:tblPrEx>
        <w:trPr>
          <w:cantSplit/>
          <w:trHeight w:val="560"/>
        </w:trPr>
        <w:tc>
          <w:tcPr>
            <w:tcW w:w="700" w:type="dxa"/>
            <w:tcMar>
              <w:top w:w="0" w:type="dxa"/>
              <w:bottom w:w="0" w:type="dxa"/>
            </w:tcMar>
            <w:vAlign w:val="center"/>
          </w:tcPr>
          <w:p w14:paraId="3F3446EC" w14:textId="77777777" w:rsidR="00680D31" w:rsidRDefault="00680D31">
            <w:pPr>
              <w:keepNext/>
              <w:keepLines/>
              <w:spacing w:after="0" w:line="240" w:lineRule="auto"/>
            </w:pPr>
          </w:p>
        </w:tc>
        <w:tc>
          <w:tcPr>
            <w:tcW w:w="3180" w:type="dxa"/>
            <w:tcMar>
              <w:top w:w="0" w:type="dxa"/>
              <w:bottom w:w="0" w:type="dxa"/>
            </w:tcMar>
            <w:vAlign w:val="center"/>
          </w:tcPr>
          <w:p w14:paraId="5391B070" w14:textId="77777777" w:rsidR="00680D31"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72A9753" w14:textId="77777777" w:rsidR="00680D31" w:rsidRDefault="00000000">
            <w:pPr>
              <w:keepNext/>
              <w:keepLines/>
              <w:spacing w:after="0" w:line="240" w:lineRule="auto"/>
            </w:pPr>
            <w:r>
              <w:rPr>
                <w:sz w:val="18"/>
              </w:rPr>
              <w:t>V007</w:t>
            </w:r>
          </w:p>
        </w:tc>
        <w:tc>
          <w:tcPr>
            <w:tcW w:w="1860" w:type="dxa"/>
            <w:tcMar>
              <w:top w:w="0" w:type="dxa"/>
              <w:bottom w:w="0" w:type="dxa"/>
            </w:tcMar>
            <w:vAlign w:val="center"/>
          </w:tcPr>
          <w:p w14:paraId="57FC0E70" w14:textId="77777777" w:rsidR="00680D31" w:rsidRDefault="00000000">
            <w:pPr>
              <w:keepNext/>
              <w:keepLines/>
              <w:spacing w:after="0" w:line="240" w:lineRule="auto"/>
              <w:jc w:val="right"/>
            </w:pPr>
            <w:r>
              <w:rPr>
                <w:sz w:val="18"/>
              </w:rPr>
              <w:t>1.100,00</w:t>
            </w:r>
          </w:p>
        </w:tc>
        <w:tc>
          <w:tcPr>
            <w:tcW w:w="700" w:type="dxa"/>
            <w:tcMar>
              <w:top w:w="0" w:type="dxa"/>
              <w:bottom w:w="0" w:type="dxa"/>
            </w:tcMar>
            <w:vAlign w:val="center"/>
          </w:tcPr>
          <w:p w14:paraId="7BC2BCDE" w14:textId="77777777" w:rsidR="00680D31" w:rsidRDefault="00000000">
            <w:pPr>
              <w:keepNext/>
              <w:keepLines/>
              <w:spacing w:after="0" w:line="240" w:lineRule="auto"/>
              <w:jc w:val="right"/>
            </w:pPr>
            <w:r>
              <w:rPr>
                <w:sz w:val="18"/>
              </w:rPr>
              <w:t>-</w:t>
            </w:r>
          </w:p>
        </w:tc>
      </w:tr>
    </w:tbl>
    <w:p w14:paraId="0FA01788" w14:textId="77777777" w:rsidR="00680D31" w:rsidRDefault="00680D31">
      <w:pPr>
        <w:spacing w:after="0"/>
      </w:pPr>
    </w:p>
    <w:p w14:paraId="0BB37A13" w14:textId="77777777" w:rsidR="00680D31" w:rsidRDefault="00000000">
      <w:r>
        <w:t>Radi se o jednom neplaćenom ulaznom računu. Knjižnica i čitaonica Kutina nalazi se u sustavu Gradske riznice Grada Kutine te proces od „ulaska“ računa u sustav pa do trenutka njegove naplate  obuhvaća nekoliko odobrenja od strane odgovornih osoba. Stoga, ponekad do službenice koja vrši plaćanja stigne račun kojemu je već prošlo dospijeće plaćanja. Zbog navedenog razloga postoji dospjelo dugovanje.</w:t>
      </w:r>
    </w:p>
    <w:p w14:paraId="7F5EF12E" w14:textId="77777777" w:rsidR="00680D31" w:rsidRDefault="00680D31"/>
    <w:p w14:paraId="78578072" w14:textId="77777777" w:rsidR="00680D31"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80D31" w14:paraId="37B078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E796AA"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8BDE57"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DD5645"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43646B" w14:textId="77777777" w:rsidR="00680D3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703510" w14:textId="77777777" w:rsidR="00680D31" w:rsidRDefault="00000000">
            <w:pPr>
              <w:keepNext/>
              <w:keepLines/>
              <w:spacing w:after="0" w:line="240" w:lineRule="auto"/>
              <w:jc w:val="center"/>
            </w:pPr>
            <w:r>
              <w:rPr>
                <w:b/>
                <w:sz w:val="18"/>
              </w:rPr>
              <w:t>Indeks (%)</w:t>
            </w:r>
          </w:p>
        </w:tc>
      </w:tr>
      <w:tr w:rsidR="00680D31" w14:paraId="7DADF806" w14:textId="77777777">
        <w:tblPrEx>
          <w:tblCellMar>
            <w:top w:w="0" w:type="dxa"/>
            <w:bottom w:w="0" w:type="dxa"/>
          </w:tblCellMar>
        </w:tblPrEx>
        <w:trPr>
          <w:cantSplit/>
          <w:trHeight w:val="560"/>
        </w:trPr>
        <w:tc>
          <w:tcPr>
            <w:tcW w:w="700" w:type="dxa"/>
            <w:tcMar>
              <w:top w:w="0" w:type="dxa"/>
              <w:bottom w:w="0" w:type="dxa"/>
            </w:tcMar>
            <w:vAlign w:val="center"/>
          </w:tcPr>
          <w:p w14:paraId="0810C62E" w14:textId="77777777" w:rsidR="00680D31" w:rsidRDefault="00680D31">
            <w:pPr>
              <w:keepNext/>
              <w:keepLines/>
              <w:spacing w:after="0" w:line="240" w:lineRule="auto"/>
            </w:pPr>
          </w:p>
        </w:tc>
        <w:tc>
          <w:tcPr>
            <w:tcW w:w="3180" w:type="dxa"/>
            <w:tcMar>
              <w:top w:w="0" w:type="dxa"/>
              <w:bottom w:w="0" w:type="dxa"/>
            </w:tcMar>
            <w:vAlign w:val="center"/>
          </w:tcPr>
          <w:p w14:paraId="068F98B3" w14:textId="77777777" w:rsidR="00680D31"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4DE1B12A" w14:textId="77777777" w:rsidR="00680D31" w:rsidRDefault="00000000">
            <w:pPr>
              <w:keepNext/>
              <w:keepLines/>
              <w:spacing w:after="0" w:line="240" w:lineRule="auto"/>
            </w:pPr>
            <w:r>
              <w:rPr>
                <w:sz w:val="18"/>
              </w:rPr>
              <w:t>V010</w:t>
            </w:r>
          </w:p>
        </w:tc>
        <w:tc>
          <w:tcPr>
            <w:tcW w:w="1860" w:type="dxa"/>
            <w:tcMar>
              <w:top w:w="0" w:type="dxa"/>
              <w:bottom w:w="0" w:type="dxa"/>
            </w:tcMar>
            <w:vAlign w:val="center"/>
          </w:tcPr>
          <w:p w14:paraId="6656838E" w14:textId="77777777" w:rsidR="00680D31" w:rsidRDefault="00000000">
            <w:pPr>
              <w:keepNext/>
              <w:keepLines/>
              <w:spacing w:after="0" w:line="240" w:lineRule="auto"/>
              <w:jc w:val="right"/>
            </w:pPr>
            <w:r>
              <w:rPr>
                <w:sz w:val="18"/>
              </w:rPr>
              <w:t>0,01</w:t>
            </w:r>
          </w:p>
        </w:tc>
        <w:tc>
          <w:tcPr>
            <w:tcW w:w="700" w:type="dxa"/>
            <w:tcMar>
              <w:top w:w="0" w:type="dxa"/>
              <w:bottom w:w="0" w:type="dxa"/>
            </w:tcMar>
            <w:vAlign w:val="center"/>
          </w:tcPr>
          <w:p w14:paraId="2001BCA0" w14:textId="77777777" w:rsidR="00680D31" w:rsidRDefault="00000000">
            <w:pPr>
              <w:keepNext/>
              <w:keepLines/>
              <w:spacing w:after="0" w:line="240" w:lineRule="auto"/>
              <w:jc w:val="right"/>
            </w:pPr>
            <w:r>
              <w:rPr>
                <w:sz w:val="18"/>
              </w:rPr>
              <w:t>-</w:t>
            </w:r>
          </w:p>
        </w:tc>
      </w:tr>
    </w:tbl>
    <w:p w14:paraId="1610FD56" w14:textId="77777777" w:rsidR="00680D31" w:rsidRDefault="00680D31">
      <w:pPr>
        <w:spacing w:after="0"/>
      </w:pPr>
    </w:p>
    <w:p w14:paraId="24D38929" w14:textId="77777777" w:rsidR="00680D31" w:rsidRDefault="00000000">
      <w:r>
        <w:t>Međusobne obveze proračunskih korisnika odnose se na: </w:t>
      </w:r>
    </w:p>
    <w:p w14:paraId="6241B738" w14:textId="77777777" w:rsidR="00680D31" w:rsidRDefault="00000000">
      <w:r>
        <w:t>27 Obveze proračunskih korisnika za povrat u proračun.</w:t>
      </w:r>
    </w:p>
    <w:p w14:paraId="0E1ECA92" w14:textId="77777777" w:rsidR="00680D31" w:rsidRDefault="00680D31"/>
    <w:p w14:paraId="4E4DF3BE" w14:textId="77777777" w:rsidR="00680D31"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80D31" w14:paraId="1095FF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8C9C6A" w14:textId="77777777" w:rsidR="00680D3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59408F" w14:textId="77777777" w:rsidR="00680D3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0E94AD" w14:textId="77777777" w:rsidR="00680D3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A8BE2" w14:textId="77777777" w:rsidR="00680D3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85518A" w14:textId="77777777" w:rsidR="00680D31" w:rsidRDefault="00000000">
            <w:pPr>
              <w:keepNext/>
              <w:keepLines/>
              <w:spacing w:after="0" w:line="240" w:lineRule="auto"/>
              <w:jc w:val="center"/>
            </w:pPr>
            <w:r>
              <w:rPr>
                <w:b/>
                <w:sz w:val="18"/>
              </w:rPr>
              <w:t>Indeks (%)</w:t>
            </w:r>
          </w:p>
        </w:tc>
      </w:tr>
      <w:tr w:rsidR="00680D31" w14:paraId="2C0ED9E1" w14:textId="77777777">
        <w:tblPrEx>
          <w:tblCellMar>
            <w:top w:w="0" w:type="dxa"/>
            <w:bottom w:w="0" w:type="dxa"/>
          </w:tblCellMar>
        </w:tblPrEx>
        <w:trPr>
          <w:cantSplit/>
          <w:trHeight w:val="560"/>
        </w:trPr>
        <w:tc>
          <w:tcPr>
            <w:tcW w:w="700" w:type="dxa"/>
            <w:tcMar>
              <w:top w:w="0" w:type="dxa"/>
              <w:bottom w:w="0" w:type="dxa"/>
            </w:tcMar>
            <w:vAlign w:val="center"/>
          </w:tcPr>
          <w:p w14:paraId="65707448" w14:textId="77777777" w:rsidR="00680D31" w:rsidRDefault="00000000">
            <w:pPr>
              <w:keepNext/>
              <w:keepLines/>
              <w:spacing w:after="0" w:line="240" w:lineRule="auto"/>
            </w:pPr>
            <w:r>
              <w:rPr>
                <w:sz w:val="18"/>
              </w:rPr>
              <w:t>23</w:t>
            </w:r>
          </w:p>
        </w:tc>
        <w:tc>
          <w:tcPr>
            <w:tcW w:w="3180" w:type="dxa"/>
            <w:tcMar>
              <w:top w:w="0" w:type="dxa"/>
              <w:bottom w:w="0" w:type="dxa"/>
            </w:tcMar>
            <w:vAlign w:val="center"/>
          </w:tcPr>
          <w:p w14:paraId="2629CE4B" w14:textId="77777777" w:rsidR="00680D31"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CDBC872" w14:textId="77777777" w:rsidR="00680D31" w:rsidRDefault="00000000">
            <w:pPr>
              <w:keepNext/>
              <w:keepLines/>
              <w:spacing w:after="0" w:line="240" w:lineRule="auto"/>
            </w:pPr>
            <w:r>
              <w:rPr>
                <w:sz w:val="18"/>
              </w:rPr>
              <w:t>ND23</w:t>
            </w:r>
          </w:p>
        </w:tc>
        <w:tc>
          <w:tcPr>
            <w:tcW w:w="1860" w:type="dxa"/>
            <w:tcMar>
              <w:top w:w="0" w:type="dxa"/>
              <w:bottom w:w="0" w:type="dxa"/>
            </w:tcMar>
            <w:vAlign w:val="center"/>
          </w:tcPr>
          <w:p w14:paraId="06A595E8" w14:textId="77777777" w:rsidR="00680D31" w:rsidRDefault="00000000">
            <w:pPr>
              <w:keepNext/>
              <w:keepLines/>
              <w:spacing w:after="0" w:line="240" w:lineRule="auto"/>
              <w:jc w:val="right"/>
            </w:pPr>
            <w:r>
              <w:rPr>
                <w:sz w:val="18"/>
              </w:rPr>
              <w:t>17.044,15</w:t>
            </w:r>
          </w:p>
        </w:tc>
        <w:tc>
          <w:tcPr>
            <w:tcW w:w="700" w:type="dxa"/>
            <w:tcMar>
              <w:top w:w="0" w:type="dxa"/>
              <w:bottom w:w="0" w:type="dxa"/>
            </w:tcMar>
            <w:vAlign w:val="center"/>
          </w:tcPr>
          <w:p w14:paraId="1974AC9E" w14:textId="77777777" w:rsidR="00680D31" w:rsidRDefault="00000000">
            <w:pPr>
              <w:keepNext/>
              <w:keepLines/>
              <w:spacing w:after="0" w:line="240" w:lineRule="auto"/>
              <w:jc w:val="right"/>
            </w:pPr>
            <w:r>
              <w:rPr>
                <w:sz w:val="18"/>
              </w:rPr>
              <w:t>-</w:t>
            </w:r>
          </w:p>
        </w:tc>
      </w:tr>
    </w:tbl>
    <w:p w14:paraId="50C95438" w14:textId="77777777" w:rsidR="00680D31" w:rsidRDefault="00680D31">
      <w:pPr>
        <w:spacing w:after="0"/>
      </w:pPr>
    </w:p>
    <w:p w14:paraId="56B0CD1F" w14:textId="77777777" w:rsidR="00680D31" w:rsidRDefault="00000000">
      <w:r>
        <w:lastRenderedPageBreak/>
        <w:t>Odnose se na obveze za plaću i prijevoz zaposlenika  na posao i s posla za prosinac 2025. god. te obveze prema ulaznim računima.</w:t>
      </w:r>
    </w:p>
    <w:p w14:paraId="57BA03DD" w14:textId="77777777" w:rsidR="00680D31" w:rsidRDefault="00680D31"/>
    <w:sectPr w:rsidR="00680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17A3A"/>
    <w:multiLevelType w:val="hybridMultilevel"/>
    <w:tmpl w:val="9B14C6A6"/>
    <w:name w:val="disc"/>
    <w:lvl w:ilvl="0" w:tplc="8230E992">
      <w:start w:val="1"/>
      <w:numFmt w:val="bullet"/>
      <w:lvlText w:val="•"/>
      <w:lvlJc w:val="left"/>
      <w:pPr>
        <w:ind w:left="720" w:hanging="360"/>
      </w:pPr>
    </w:lvl>
    <w:lvl w:ilvl="1" w:tplc="3656D8E0">
      <w:start w:val="1"/>
      <w:numFmt w:val="bullet"/>
      <w:lvlText w:val="•"/>
      <w:lvlJc w:val="left"/>
      <w:pPr>
        <w:ind w:left="1440" w:hanging="360"/>
      </w:pPr>
    </w:lvl>
    <w:lvl w:ilvl="2" w:tplc="AE00C4AC">
      <w:start w:val="1"/>
      <w:numFmt w:val="bullet"/>
      <w:lvlText w:val="•"/>
      <w:lvlJc w:val="left"/>
      <w:pPr>
        <w:ind w:left="2160" w:hanging="360"/>
      </w:pPr>
    </w:lvl>
    <w:lvl w:ilvl="3" w:tplc="AA946024">
      <w:start w:val="1"/>
      <w:numFmt w:val="bullet"/>
      <w:lvlText w:val="•"/>
      <w:lvlJc w:val="left"/>
      <w:pPr>
        <w:ind w:left="2880" w:hanging="360"/>
      </w:pPr>
    </w:lvl>
    <w:lvl w:ilvl="4" w:tplc="C8AA9E7C">
      <w:start w:val="1"/>
      <w:numFmt w:val="bullet"/>
      <w:lvlText w:val="•"/>
      <w:lvlJc w:val="left"/>
      <w:pPr>
        <w:ind w:left="3600" w:hanging="360"/>
      </w:pPr>
    </w:lvl>
    <w:lvl w:ilvl="5" w:tplc="A27E439C">
      <w:start w:val="1"/>
      <w:numFmt w:val="bullet"/>
      <w:lvlText w:val="•"/>
      <w:lvlJc w:val="left"/>
      <w:pPr>
        <w:ind w:left="4320" w:hanging="360"/>
      </w:pPr>
    </w:lvl>
    <w:lvl w:ilvl="6" w:tplc="2056FB7E">
      <w:start w:val="1"/>
      <w:numFmt w:val="bullet"/>
      <w:lvlText w:val="•"/>
      <w:lvlJc w:val="left"/>
      <w:pPr>
        <w:ind w:left="5040" w:hanging="360"/>
      </w:pPr>
    </w:lvl>
    <w:lvl w:ilvl="7" w:tplc="D56ABEF4">
      <w:start w:val="1"/>
      <w:numFmt w:val="bullet"/>
      <w:lvlText w:val="•"/>
      <w:lvlJc w:val="left"/>
      <w:pPr>
        <w:ind w:left="5760" w:hanging="360"/>
      </w:pPr>
    </w:lvl>
    <w:lvl w:ilvl="8" w:tplc="37AE593C">
      <w:start w:val="1"/>
      <w:numFmt w:val="bullet"/>
      <w:lvlText w:val="•"/>
      <w:lvlJc w:val="left"/>
      <w:pPr>
        <w:ind w:left="6480" w:hanging="360"/>
      </w:pPr>
    </w:lvl>
  </w:abstractNum>
  <w:num w:numId="1" w16cid:durableId="1182819363">
    <w:abstractNumId w:val="0"/>
    <w:lvlOverride w:ilvl="0">
      <w:startOverride w:val="1"/>
    </w:lvlOverride>
  </w:num>
  <w:num w:numId="2" w16cid:durableId="1637953621">
    <w:abstractNumId w:val="0"/>
    <w:lvlOverride w:ilvl="0">
      <w:startOverride w:val="1"/>
    </w:lvlOverride>
  </w:num>
  <w:num w:numId="3" w16cid:durableId="999163418">
    <w:abstractNumId w:val="0"/>
    <w:lvlOverride w:ilvl="0">
      <w:startOverride w:val="1"/>
    </w:lvlOverride>
  </w:num>
  <w:num w:numId="4" w16cid:durableId="1629781931">
    <w:abstractNumId w:val="0"/>
    <w:lvlOverride w:ilvl="0">
      <w:startOverride w:val="1"/>
    </w:lvlOverride>
  </w:num>
  <w:num w:numId="5" w16cid:durableId="1048996294">
    <w:abstractNumId w:val="0"/>
    <w:lvlOverride w:ilvl="0">
      <w:startOverride w:val="1"/>
    </w:lvlOverride>
  </w:num>
  <w:num w:numId="6" w16cid:durableId="2858900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31"/>
    <w:rsid w:val="004F3C64"/>
    <w:rsid w:val="00680D31"/>
    <w:rsid w:val="00F43E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66DC"/>
  <w15:docId w15:val="{063E7748-14AD-4626-91F5-D6E35883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 Kotarski Kranjčec</dc:creator>
  <cp:lastModifiedBy>Matea Kotarski Kranjčec</cp:lastModifiedBy>
  <cp:revision>2</cp:revision>
  <dcterms:created xsi:type="dcterms:W3CDTF">2026-01-27T12:01:00Z</dcterms:created>
  <dcterms:modified xsi:type="dcterms:W3CDTF">2026-01-27T12:01:00Z</dcterms:modified>
</cp:coreProperties>
</file>