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5ae14b27b5fb4050"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41048</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KNJIŽNICA I ČITAONICA KUTINA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VI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137.333,71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145.198,99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101.108,82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114.065,42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36.224,89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31.133,57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85,9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23.467,27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13.067,66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23.467,27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13.067,66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55,7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12.757,62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18.065,91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141,6</w:t>
            </w:r>
          </w:p>
        </w:tc>
      </w:tr>
    </w:tbl>
    <w:p>
      <w:pPr>
        <w:spacing w:before="0" w:after="0"/>
      </w:pPr>
    </w:p>
    <w:p>
      <w:pPr>
        <w:jc w:val="both"/>
        <w:pStyle w:val="Normal"/>
        <w:spacing w:line="240" w:lineRule="auto"/>
      </w:pPr>
      <w:r>
        <w:rPr>
          <w:sz w:val="24"/>
          <w:rFonts w:ascii="Times New Roman" w:hAnsi="Times New Roman"/>
        </w:rPr>
        <w:t>Ostvareni prihodi sastoje se od vlastitih prihoda (članarine, zakasnine), prihoda nadležnog proračuna te tekućih i kapitalnih pomoći Ministarstva kulture RH. Rashodi se sastoje od rashoda za zaposlene, rashoda za materijal i energiju, za usluge, za nabavu proizvedene dugotrajne imovine- knjižne građe. Budući da su ukupni prihodi i primici veći od ukupnih rashoda i izdataka ostvaren je višak prihoda i primitaka.</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85,1</w:t>
            </w:r>
          </w:p>
        </w:tc>
      </w:tr>
    </w:tbl>
    <w:p>
      <w:pPr>
        <w:spacing w:before="0" w:after="0"/>
      </w:pPr>
    </w:p>
    <w:p>
      <w:pPr>
        <w:jc w:val="both"/>
        <w:pStyle w:val="Normal"/>
        <w:spacing w:line="240" w:lineRule="auto"/>
      </w:pPr>
      <w:r>
        <w:rPr>
          <w:sz w:val="24"/>
          <w:rFonts w:ascii="Times New Roman" w:hAnsi="Times New Roman"/>
        </w:rPr>
        <w:t>U ovom razdoblju manje je naplaćeno članarina i zaksnina.</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13.641,38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4.152,41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30,4</w:t>
            </w:r>
          </w:p>
        </w:tc>
      </w:tr>
    </w:tbl>
    <w:p>
      <w:pPr>
        <w:spacing w:before="0" w:after="0"/>
      </w:pPr>
    </w:p>
    <w:p>
      <w:pPr>
        <w:jc w:val="both"/>
        <w:pStyle w:val="Normal"/>
        <w:spacing w:line="240" w:lineRule="auto"/>
      </w:pPr>
      <w:r>
        <w:rPr>
          <w:sz w:val="24"/>
          <w:rFonts w:ascii="Times New Roman" w:hAnsi="Times New Roman"/>
        </w:rPr>
        <w:t>U prošlom razdoblju veći je prihod zbog više nabavljene knjižne građe.</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3.639,93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669,68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w:t>
            </w:r>
          </w:p>
        </w:tc>
      </w:tr>
    </w:tbl>
    <w:p>
      <w:pPr>
        <w:spacing w:before="0" w:after="0"/>
      </w:pPr>
    </w:p>
    <w:p>
      <w:pPr>
        <w:jc w:val="both"/>
        <w:pStyle w:val="Normal"/>
        <w:spacing w:line="240" w:lineRule="auto"/>
      </w:pPr>
      <w:r>
        <w:rPr>
          <w:sz w:val="24"/>
          <w:rFonts w:ascii="Times New Roman" w:hAnsi="Times New Roman"/>
        </w:rPr>
        <w:t>U prošloj godini zamijenjen je kondenzacijski bojler pa je potrošeno više sredstava.</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454,85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1819,4</w:t>
            </w:r>
          </w:p>
        </w:tc>
      </w:tr>
    </w:tbl>
    <w:p>
      <w:pPr>
        <w:spacing w:before="0" w:after="0"/>
      </w:pPr>
    </w:p>
    <w:p>
      <w:pPr>
        <w:jc w:val="both"/>
        <w:pStyle w:val="Normal"/>
        <w:spacing w:line="240" w:lineRule="auto"/>
      </w:pPr>
      <w:r>
        <w:rPr>
          <w:sz w:val="24"/>
          <w:rFonts w:ascii="Times New Roman" w:hAnsi="Times New Roman"/>
        </w:rPr>
        <w:t>U tekućoj godini plaćeno je za postupak javne nabave u Narodnim novinama te su nabavljeni promidžbeni materijali za Olimpijadu čitanja.</w:t>
      </w:r>
    </w:p>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527,53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289,6</w:t>
            </w:r>
          </w:p>
        </w:tc>
      </w:tr>
    </w:tbl>
    <w:p>
      <w:pPr>
        <w:spacing w:before="0" w:after="0"/>
      </w:pPr>
    </w:p>
    <w:p>
      <w:pPr>
        <w:jc w:val="both"/>
        <w:pStyle w:val="Normal"/>
        <w:spacing w:line="240" w:lineRule="auto"/>
      </w:pPr>
      <w:r>
        <w:rPr>
          <w:sz w:val="24"/>
          <w:rFonts w:ascii="Times New Roman" w:hAnsi="Times New Roman"/>
        </w:rPr>
        <w:t>Povećanje cijena usluga (voda, smeće, pričuva)</w:t>
      </w:r>
    </w:p>
    <w:p/>
    <w:p>
      <w:pPr>
        <w:jc w:val="center"/>
        <w:pStyle w:val="Normal"/>
        <w:spacing w:line="240" w:lineRule="auto"/>
        <w:keepNext/>
      </w:pPr>
      <w:r>
        <w:rPr>
          <w:sz w:val="28"/>
          <w:rFonts w:ascii="Times New Roman" w:hAnsi="Times New Roman"/>
        </w:rPr>
        <w:t>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1.237,67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3.039,14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245,6</w:t>
            </w:r>
          </w:p>
        </w:tc>
      </w:tr>
    </w:tbl>
    <w:p>
      <w:pPr>
        <w:spacing w:before="0" w:after="0"/>
      </w:pPr>
    </w:p>
    <w:p>
      <w:pPr>
        <w:jc w:val="both"/>
        <w:pStyle w:val="Normal"/>
        <w:spacing w:line="240" w:lineRule="auto"/>
      </w:pPr>
      <w:r>
        <w:rPr>
          <w:sz w:val="24"/>
          <w:rFonts w:ascii="Times New Roman" w:hAnsi="Times New Roman"/>
        </w:rPr>
        <w:t>U tekućoj godini uzet je u najam prostor za skladištenje.</w:t>
      </w:r>
    </w:p>
    <w:p/>
    <w:p>
      <w:pPr>
        <w:jc w:val="center"/>
        <w:pStyle w:val="Normal"/>
        <w:spacing w:line="240" w:lineRule="auto"/>
        <w:keepNext/>
      </w:pPr>
      <w:r>
        <w:rPr>
          <w:sz w:val="28"/>
          <w:rFonts w:ascii="Times New Roman" w:hAnsi="Times New Roman"/>
        </w:rPr>
        <w:t>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2.209,81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2.653,64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120,1</w:t>
            </w:r>
          </w:p>
        </w:tc>
      </w:tr>
    </w:tbl>
    <w:p>
      <w:pPr>
        <w:spacing w:before="0" w:after="0"/>
      </w:pPr>
    </w:p>
    <w:p>
      <w:pPr>
        <w:jc w:val="both"/>
        <w:pStyle w:val="Normal"/>
        <w:spacing w:line="240" w:lineRule="auto"/>
      </w:pPr>
      <w:r>
        <w:rPr>
          <w:sz w:val="24"/>
          <w:rFonts w:ascii="Times New Roman" w:hAnsi="Times New Roman"/>
        </w:rPr>
        <w:t>U tekućoj godini bilo je više isplata autorskih honorara</w:t>
      </w:r>
    </w:p>
    <w:p/>
    <w:p>
      <w:pPr>
        <w:jc w:val="center"/>
        <w:pStyle w:val="Normal"/>
        <w:spacing w:line="240" w:lineRule="auto"/>
        <w:keepNext/>
      </w:pPr>
      <w:r>
        <w:rPr>
          <w:sz w:val="28"/>
          <w:rFonts w:ascii="Times New Roman" w:hAnsi="Times New Roman"/>
        </w:rPr>
        <w:t>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6.689,13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3.729,90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55,8</w:t>
            </w:r>
          </w:p>
        </w:tc>
      </w:tr>
    </w:tbl>
    <w:p>
      <w:pPr>
        <w:spacing w:before="0" w:after="0"/>
      </w:pPr>
    </w:p>
    <w:p>
      <w:pPr>
        <w:jc w:val="both"/>
        <w:pStyle w:val="Normal"/>
        <w:spacing w:line="240" w:lineRule="auto"/>
      </w:pPr>
      <w:r>
        <w:rPr>
          <w:sz w:val="24"/>
          <w:rFonts w:ascii="Times New Roman" w:hAnsi="Times New Roman"/>
        </w:rPr>
        <w:t>U prošloj godini nabavljena je nova aplikacija/igra za korisnike knjižnice.</w:t>
      </w:r>
    </w:p>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Na dan 30.06.2025. god. dospjelo je obveza u iznosu 235,00 eura. Radi se o dva neplaćena ulazna računa. Knjižnica i čitaonica Kutina nalazi se u sustavu Gradske riznice Grada Kutine te proces od „ulaska“ računa u sustav pa do trenutka njegove naplate obuhvaća nekoliko odobrenja od strane odgovornih osoba. Stoga, ponekad do službenice koja vrši plaćanja stigne račun kojemu je već prošlo dospijeće plaćanja. Zbog navedenog razloga postoji dospjelo dugovanje.
</w:t>
      </w:r>
    </w:p>
    <w:p/>
    <w:p>
      <w:pPr>
        <w:jc w:val="center"/>
        <w:pStyle w:val="Normal"/>
        <w:spacing w:line="240" w:lineRule="auto"/>
        <w:keepNext/>
      </w:pPr>
      <w:r>
        <w:rPr>
          <w:sz w:val="28"/>
          <w:rFonts w:ascii="Times New Roman" w:hAnsi="Times New Roman"/>
        </w:rPr>
        <w:t>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19.256,31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Nedospjele obveze odnose se na obveze za materijalne rashode prema ulaznim računima, obveze za plaću i prijevoz zaposlenika na posao i s posla za lipanj 2025. god. te obveze za nabavu nefinancijske imovine.
</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58a01c2f93e44c0c" /></Relationships>
</file>